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5E" w:rsidRDefault="000D535E">
      <w:pPr>
        <w:pStyle w:val="ConsPlusNormal"/>
        <w:jc w:val="both"/>
        <w:outlineLvl w:val="0"/>
      </w:pPr>
      <w:bookmarkStart w:id="0" w:name="_GoBack"/>
      <w:bookmarkEnd w:id="0"/>
    </w:p>
    <w:p w:rsidR="000D535E" w:rsidRDefault="000D535E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D535E" w:rsidRDefault="000D535E">
      <w:pPr>
        <w:pStyle w:val="ConsPlusTitle"/>
        <w:jc w:val="center"/>
      </w:pPr>
    </w:p>
    <w:p w:rsidR="000D535E" w:rsidRDefault="000D535E">
      <w:pPr>
        <w:pStyle w:val="ConsPlusTitle"/>
        <w:jc w:val="center"/>
      </w:pPr>
      <w:r>
        <w:t>ПРИКАЗ</w:t>
      </w:r>
    </w:p>
    <w:p w:rsidR="000D535E" w:rsidRDefault="000D535E">
      <w:pPr>
        <w:pStyle w:val="ConsPlusTitle"/>
        <w:jc w:val="center"/>
      </w:pPr>
      <w:r>
        <w:t>от 9 октября 2014 г. N 682н</w:t>
      </w:r>
    </w:p>
    <w:p w:rsidR="000D535E" w:rsidRDefault="000D535E">
      <w:pPr>
        <w:pStyle w:val="ConsPlusTitle"/>
        <w:jc w:val="center"/>
      </w:pPr>
    </w:p>
    <w:p w:rsidR="000D535E" w:rsidRDefault="000D535E">
      <w:pPr>
        <w:pStyle w:val="ConsPlusTitle"/>
        <w:jc w:val="center"/>
      </w:pPr>
      <w:r>
        <w:t>ОБ УТВЕРЖДЕНИИ МЕТОДИЧЕСКИХ РЕКОМЕНДАЦИЙ</w:t>
      </w:r>
    </w:p>
    <w:p w:rsidR="000D535E" w:rsidRDefault="000D535E">
      <w:pPr>
        <w:pStyle w:val="ConsPlusTitle"/>
        <w:jc w:val="center"/>
      </w:pPr>
      <w:r>
        <w:t>ПО ОПРЕДЕЛЕНИЮ РАЗМЕРА ПЛАТЫ ЗА ПРОВЕДЕНИЕ ЭКСПЕРТИЗЫ</w:t>
      </w:r>
    </w:p>
    <w:p w:rsidR="000D535E" w:rsidRDefault="000D535E">
      <w:pPr>
        <w:pStyle w:val="ConsPlusTitle"/>
        <w:jc w:val="center"/>
      </w:pPr>
      <w:r>
        <w:t>КАЧЕСТВА СПЕЦИАЛЬНОЙ ОЦЕНКИ УСЛОВИЙ ТРУДА</w:t>
      </w:r>
    </w:p>
    <w:p w:rsidR="000D535E" w:rsidRDefault="000D535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5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35E" w:rsidRDefault="000D535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35E" w:rsidRDefault="000D535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35E" w:rsidRDefault="000D53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D535E" w:rsidRDefault="000D53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22.07.2015 N 488н)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35E" w:rsidRDefault="000D535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D535E" w:rsidRDefault="000D535E">
      <w:pPr>
        <w:pStyle w:val="ConsPlusNormal"/>
        <w:jc w:val="center"/>
      </w:pPr>
    </w:p>
    <w:p w:rsidR="000D535E" w:rsidRDefault="000D535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6991; 2014, N 26, ст. 3366) и </w:t>
      </w:r>
      <w:hyperlink r:id="rId6" w:history="1">
        <w:r>
          <w:rPr>
            <w:color w:val="0000FF"/>
          </w:rPr>
          <w:t>подпунктом 5.2.16(5)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законодательствам Российской Федерации, 2012, N 26, ст. 3528; 2014, N 32, ст. 4499), приказываю: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 xml:space="preserve">Утвердить методические </w:t>
      </w:r>
      <w:hyperlink w:anchor="Par28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определению размера платы за проведение экспертизы качества специальной оценки условий труда согласно приложению.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right"/>
      </w:pPr>
      <w:r>
        <w:t>Министр</w:t>
      </w:r>
    </w:p>
    <w:p w:rsidR="000D535E" w:rsidRDefault="000D535E">
      <w:pPr>
        <w:pStyle w:val="ConsPlusNormal"/>
        <w:jc w:val="right"/>
      </w:pPr>
      <w:r>
        <w:t>М.ТОПИЛИН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right"/>
        <w:outlineLvl w:val="0"/>
      </w:pPr>
      <w:r>
        <w:t>Приложение</w:t>
      </w:r>
    </w:p>
    <w:p w:rsidR="000D535E" w:rsidRDefault="000D535E">
      <w:pPr>
        <w:pStyle w:val="ConsPlusNormal"/>
        <w:jc w:val="right"/>
      </w:pPr>
      <w:r>
        <w:t>к приказу Министерства труда</w:t>
      </w:r>
    </w:p>
    <w:p w:rsidR="000D535E" w:rsidRDefault="000D535E">
      <w:pPr>
        <w:pStyle w:val="ConsPlusNormal"/>
        <w:jc w:val="right"/>
      </w:pPr>
      <w:r>
        <w:t>и социальной защиты</w:t>
      </w:r>
    </w:p>
    <w:p w:rsidR="000D535E" w:rsidRDefault="000D535E">
      <w:pPr>
        <w:pStyle w:val="ConsPlusNormal"/>
        <w:jc w:val="right"/>
      </w:pPr>
      <w:r>
        <w:t>Российской Федерации</w:t>
      </w:r>
    </w:p>
    <w:p w:rsidR="000D535E" w:rsidRDefault="000D535E">
      <w:pPr>
        <w:pStyle w:val="ConsPlusNormal"/>
        <w:jc w:val="right"/>
      </w:pPr>
      <w:r>
        <w:t>от 9 октября 2014 г. N 682н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Title"/>
        <w:jc w:val="center"/>
      </w:pPr>
      <w:bookmarkStart w:id="1" w:name="Par28"/>
      <w:bookmarkEnd w:id="1"/>
      <w:r>
        <w:t>МЕТОДИЧЕСКИЕ РЕКОМЕНДАЦИИ</w:t>
      </w:r>
    </w:p>
    <w:p w:rsidR="000D535E" w:rsidRDefault="000D535E">
      <w:pPr>
        <w:pStyle w:val="ConsPlusTitle"/>
        <w:jc w:val="center"/>
      </w:pPr>
      <w:r>
        <w:t>ПО ОПРЕДЕЛЕНИЮ РАЗМЕРА ПЛАТЫ ЗА ПРОВЕДЕНИЕ ЭКСПЕРТИЗЫ</w:t>
      </w:r>
    </w:p>
    <w:p w:rsidR="000D535E" w:rsidRDefault="000D535E">
      <w:pPr>
        <w:pStyle w:val="ConsPlusTitle"/>
        <w:jc w:val="center"/>
      </w:pPr>
      <w:r>
        <w:t>КАЧЕСТВА СПЕЦИАЛЬНОЙ ОЦЕНКИ УСЛОВИЙ ТРУДА</w:t>
      </w:r>
    </w:p>
    <w:p w:rsidR="000D535E" w:rsidRDefault="000D535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D5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35E" w:rsidRDefault="000D535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35E" w:rsidRDefault="000D535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35E" w:rsidRDefault="000D53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D535E" w:rsidRDefault="000D53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22.07.2015 N 488н)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35E" w:rsidRDefault="000D535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center"/>
        <w:outlineLvl w:val="1"/>
      </w:pPr>
      <w:r>
        <w:t>I. Общие положения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оказания содействия органам исполнительной власти субъектов Российской Федерации по установлению размера платы за проведение экспертизы качества специальной оценки условий труда (далее - экспертиза) по заявлениям работников, профессиональных союзов, их объединений, иных уполномоченных </w:t>
      </w:r>
      <w:r>
        <w:lastRenderedPageBreak/>
        <w:t xml:space="preserve">работниками представительных органов, а также работодателей, их объединений, страховщиков (далее - заявления), поданным непосредственно в органы исполнительной власти субъектов Российской Федерации, уполномоченные на проведение экспертизы (далее - орган, уполномоченный на проведение экспертизы) по основанию, указанному в </w:t>
      </w:r>
      <w:hyperlink r:id="rId8" w:history="1">
        <w:r>
          <w:rPr>
            <w:color w:val="0000FF"/>
          </w:rPr>
          <w:t>пункте 2 части 2 статьи 24</w:t>
        </w:r>
      </w:hyperlink>
      <w:r>
        <w:t xml:space="preserve"> Федерального закона от 28 декабря 2013 г. N 426-ФЗ "О специальной оценке условий труда".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2. Определение размера платы за проведение экспертизы рекомендуется осуществлять на основе нормативных затрат на проведение экспертизы.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center"/>
        <w:outlineLvl w:val="1"/>
      </w:pPr>
      <w:r>
        <w:t>II. Определение нормативных затрат на проведение экспертизы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3. В качестве основания для взимания платы за проведение экспертизы рекомендуется рассматривать поступившие непосредственно в орган, уполномоченный на проведение экспертизы, заявления.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4. Размер платы за проведение экспертизы рекомендуется устанавливать на основе нормативных затрат на проведение экспертизы в отношении одного объекта экспертизы &lt;1&gt;, определяемых по формуле: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&lt;1&gt; Для целей настоящих Методических рекомендаций под объектом экспертизы следует понимать рабочее место, в отношении условий труда на котором проведена специальная оценка условий труда.</w:t>
      </w:r>
    </w:p>
    <w:p w:rsidR="000D535E" w:rsidRDefault="000D535E">
      <w:pPr>
        <w:pStyle w:val="ConsPlusNormal"/>
        <w:jc w:val="both"/>
      </w:pPr>
    </w:p>
    <w:p w:rsidR="000D535E" w:rsidRDefault="00F44F06">
      <w:pPr>
        <w:pStyle w:val="ConsPlusNormal"/>
        <w:jc w:val="center"/>
      </w:pPr>
      <w:r>
        <w:rPr>
          <w:noProof/>
          <w:position w:val="-14"/>
        </w:rPr>
        <w:drawing>
          <wp:inline distT="0" distB="0" distL="0" distR="0">
            <wp:extent cx="18097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>, (1),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где: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25717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нормативные затраты на проведение экспертизы в отношении одного объекта экспертизы;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23850" cy="276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нормативные затраты на оплату труда и начисления на оплату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экспертизу;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295275" cy="29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коэффициент косвенных расходов, который может рассчитываться как отношение суммы нормативных затрат на приобретение материальных запасов (</w:t>
      </w:r>
      <w:r>
        <w:rPr>
          <w:noProof/>
          <w:position w:val="-9"/>
        </w:rPr>
        <w:drawing>
          <wp:inline distT="0" distB="0" distL="0" distR="0">
            <wp:extent cx="323850" cy="276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>) и нормативных затрат на общеорганизационные нужды (</w:t>
      </w:r>
      <w:r>
        <w:rPr>
          <w:noProof/>
          <w:position w:val="-9"/>
        </w:rPr>
        <w:drawing>
          <wp:inline distT="0" distB="0" distL="0" distR="0">
            <wp:extent cx="323850" cy="276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) к показателю </w:t>
      </w:r>
      <w:r>
        <w:rPr>
          <w:noProof/>
          <w:position w:val="-9"/>
        </w:rPr>
        <w:drawing>
          <wp:inline distT="0" distB="0" distL="0" distR="0">
            <wp:extent cx="323850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>;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23850" cy="29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нормативные затраты на командировочные расходы.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 xml:space="preserve">При расчете размера платы за проведение экспертизы по заявлениям работников, профессиональных союзов, их объединений, иных уполномоченных работниками представительных органов органом, уполномоченным на проведение экспертизы, к величине </w:t>
      </w:r>
      <w:r>
        <w:lastRenderedPageBreak/>
        <w:t xml:space="preserve">показателя </w:t>
      </w:r>
      <w:r w:rsidR="00F44F06"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может применяться понижающий коэффициент с диапазоном значения от 0,1 до 0,25.</w:t>
      </w:r>
    </w:p>
    <w:p w:rsidR="000D535E" w:rsidRDefault="000D535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22.07.2015 N 488н)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5. Нормативные затраты на оплату труда и начисления на оплату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 (</w:t>
      </w:r>
      <w:r w:rsidR="00F44F06">
        <w:rPr>
          <w:noProof/>
          <w:position w:val="-9"/>
        </w:rPr>
        <w:drawing>
          <wp:inline distT="0" distB="0" distL="0" distR="0">
            <wp:extent cx="323850" cy="276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рекомендуется определять на основе размеров денежного содержания и (или) размера заработной платы соответственно, установленных в соответствии с нормативными правовыми актами субъекта Российской Федерации, и рассчитывать по формуле:</w:t>
      </w:r>
    </w:p>
    <w:p w:rsidR="000D535E" w:rsidRDefault="000D535E">
      <w:pPr>
        <w:pStyle w:val="ConsPlusNormal"/>
        <w:jc w:val="both"/>
      </w:pPr>
    </w:p>
    <w:p w:rsidR="000D535E" w:rsidRDefault="00F44F06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885950" cy="295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>, (2),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где: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28650" cy="2952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годовой фонд оплаты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экспертизу, из расчета среднемесячного денежного содержания или среднемесячной заработной платы соответственно;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381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фонд рабочего времени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экспертизу, за год (дней);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Т - трудоемкость проведения экспертизы в отношении одного объекта экспертизы (человеко-дней).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6. Коэффициент косвенных расходов (</w:t>
      </w:r>
      <w:r w:rsidR="00F44F06">
        <w:rPr>
          <w:noProof/>
          <w:position w:val="-11"/>
        </w:rPr>
        <w:drawing>
          <wp:inline distT="0" distB="0" distL="0" distR="0">
            <wp:extent cx="295275" cy="295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рекомендуется определять на основе расчета соответствующих затрат, а его значение устанавливать в размере до 35% от нормативных затрат на оплату труда и начисления на оплату труда государственных гражданских служащих субъекта Российской Федерации и (или) работников, занятых на должностях, не являющихся должностями государственной гражданской службы субъекта Российской Федерации, проводящих экспертизу.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7. Нормативные затраты на приобретение материальных запасов (</w:t>
      </w:r>
      <w:r w:rsidR="00F44F06">
        <w:rPr>
          <w:noProof/>
          <w:position w:val="-9"/>
        </w:rPr>
        <w:drawing>
          <wp:inline distT="0" distB="0" distL="0" distR="0">
            <wp:extent cx="323850" cy="276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рекомендуется рассчитывать как произведение стоимости и количества расходных материалов, потребляемых в процессе проведения экспертизы, исходя из фактических объемов потребления материальных запасов за прошлые годы на один объект экспертизы.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Нормативные затраты в отношении этой группы затрат целесообразно определять пропорционально выбранному основанию - удельному весу фонда рабочего времени, затрачиваемого на проведение экспертизы, в общем объеме фонда рабочего времени.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8. Нормативные затраты на общеорганизационные нужды (</w:t>
      </w:r>
      <w:r w:rsidR="00F44F06">
        <w:rPr>
          <w:noProof/>
          <w:position w:val="-9"/>
        </w:rPr>
        <w:drawing>
          <wp:inline distT="0" distB="0" distL="0" distR="0">
            <wp:extent cx="323850" cy="276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могут включать в себя: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lastRenderedPageBreak/>
        <w:t>а) нормативные затраты на коммунальные услуги;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б) нормативные затраты на содержание объектов недвижимого имущества;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в) нормативные затраты на приобретение услуг связи, в том числе почтовых услуг, и транспортных услуг, не относящихся к командировочным расходам;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г) прочие нормативные затраты на общехозяйственные нужды.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Нормативные затраты на коммунальные услуги рекомендуется устанавливать обособленно по видам энергетических ресурсов (холодное водоснабжение и водоотведение; горячее водоснабжение; теплоснабжение; электроснабжение) и рассчитывать как произведение стоимости и объемов потребляемых в процессе проведения экспертизы коммунальных услуг, исходя из фактических объемов потребления коммунальных услуг за прошлые годы с учетом изменений в составе используемого при проведении экспертизы недвижимого имущества.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В случае заключения энергосервисного договора (контракта) в состав нормативных затрат, указанных в настоящем пункте, могут дополнительно включаться нормативные затраты на оплату исполнения энергосервисного договора (контракта).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Нормативные затраты на оказание услуг связи и приобретение транспортных услуг рекомендуется рассчитывать как произведение стоимости и объемов потребляемых в процессе проведения экспертизы услуг связи и транспортных услуг, исходя из фактических объемов потребления за прошлые годы в стоимостном выражении на один объект экспертизы.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Нормативные затраты в отношении этой группы затрат целесообразно определять пропорционально выбранному основанию - удельному весу фонда рабочего времени, затрачиваемого на проведение экспертизы, в общем объеме фонда рабочего времени.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9. Нормативные затраты на командировочные расходы, включая бронирование и наем жилых помещений, рекомендуется определять в расчете на один объект экспертизы в установленном законодательством Российской Федерации порядке.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center"/>
        <w:outlineLvl w:val="1"/>
      </w:pPr>
      <w:r>
        <w:t>III. Определение трудоемкости проведения экспертизы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10. Трудоемкость проведения экспертизы в отношении одного объекта экспертизы рекомендуется рассчитывать в человеко-днях по формуле:</w:t>
      </w:r>
    </w:p>
    <w:p w:rsidR="000D535E" w:rsidRDefault="000D535E">
      <w:pPr>
        <w:pStyle w:val="ConsPlusNormal"/>
        <w:jc w:val="both"/>
      </w:pPr>
    </w:p>
    <w:p w:rsidR="000D535E" w:rsidRDefault="00F44F06">
      <w:pPr>
        <w:pStyle w:val="ConsPlusNormal"/>
        <w:jc w:val="center"/>
      </w:pPr>
      <w:r>
        <w:rPr>
          <w:noProof/>
          <w:position w:val="-9"/>
        </w:rPr>
        <w:drawing>
          <wp:inline distT="0" distB="0" distL="0" distR="0">
            <wp:extent cx="1066800" cy="2762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>, (3),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где: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90525" cy="276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трудоемкость проведения экспертизы без выполнения исследований (испытаний) и измерений вредных и (или) опасных производственных факторов;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61950" cy="2762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трудоемкость проведения исследований (испытаний) и измерений вредных и (или) опасных производственных факторов.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 xml:space="preserve">Трудоемкость проведения экспертизы может складываться из трудоемкости выполнения отдельных видов работ по проведению экспертизы, рекомендуемый состав и максимальная </w:t>
      </w:r>
      <w:r>
        <w:lastRenderedPageBreak/>
        <w:t xml:space="preserve">трудоемкость которых предусмотрена </w:t>
      </w:r>
      <w:hyperlink w:anchor="Par114" w:tooltip="РЕКОМЕНДУЕМЫЙ СОСТАВ И МАКСИМАЛЬНАЯ ТРУДОЕМКОСТЬ" w:history="1">
        <w:r>
          <w:rPr>
            <w:color w:val="0000FF"/>
          </w:rPr>
          <w:t>приложением</w:t>
        </w:r>
      </w:hyperlink>
      <w:r>
        <w:t xml:space="preserve"> к настоящим Методическим рекомендациям, и рассчитываться по формулам:</w:t>
      </w:r>
    </w:p>
    <w:p w:rsidR="000D535E" w:rsidRDefault="000D535E">
      <w:pPr>
        <w:pStyle w:val="ConsPlusNormal"/>
        <w:jc w:val="both"/>
      </w:pPr>
    </w:p>
    <w:p w:rsidR="000D535E" w:rsidRDefault="00F44F06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2390775" cy="2952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>, (4),</w:t>
      </w:r>
    </w:p>
    <w:p w:rsidR="000D535E" w:rsidRDefault="000D535E">
      <w:pPr>
        <w:pStyle w:val="ConsPlusNormal"/>
        <w:jc w:val="both"/>
      </w:pPr>
    </w:p>
    <w:p w:rsidR="000D535E" w:rsidRDefault="00F44F06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>
            <wp:extent cx="1295400" cy="285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>, (5),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--------------------------------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&lt;1&gt; Трудоемкость проведения обследования рабочего места и (или) проведения исследований (испытаний) и измерений вредных и (или) опасных производственных факторов (</w:t>
      </w:r>
      <w:r w:rsidR="00F44F06">
        <w:rPr>
          <w:noProof/>
          <w:position w:val="-9"/>
        </w:rPr>
        <w:drawing>
          <wp:inline distT="0" distB="0" distL="0" distR="0">
            <wp:extent cx="361950" cy="276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может определяться как соотношение среднего значения фактических трудозатрат на обследование рабочего места и проведение исследований (испытаний) и измерений вредных и (или) опасных производственных факторов за год (на основе прошлых периодов) и общего количества проведенных экспертиз за год (на основе прошлых периодов).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где:</w:t>
      </w:r>
    </w:p>
    <w:p w:rsidR="000D535E" w:rsidRDefault="00F44F06">
      <w:pPr>
        <w:pStyle w:val="ConsPlusNormal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38150" cy="276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, </w:t>
      </w:r>
      <w:r>
        <w:rPr>
          <w:noProof/>
          <w:position w:val="-9"/>
        </w:rPr>
        <w:drawing>
          <wp:inline distT="0" distB="0" distL="0" distR="0">
            <wp:extent cx="428625" cy="2762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, </w:t>
      </w:r>
      <w:r>
        <w:rPr>
          <w:noProof/>
          <w:position w:val="-9"/>
        </w:rPr>
        <w:drawing>
          <wp:inline distT="0" distB="0" distL="0" distR="0">
            <wp:extent cx="438150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, </w:t>
      </w:r>
      <w:r>
        <w:rPr>
          <w:noProof/>
          <w:position w:val="-9"/>
        </w:rPr>
        <w:drawing>
          <wp:inline distT="0" distB="0" distL="0" distR="0">
            <wp:extent cx="390525" cy="276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35E">
        <w:t xml:space="preserve"> - трудоемкость выполнения отдельных видов работ по проведению экспертизы в отношении одного объекта экспертизы;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К - корректирующий коэффициент.</w:t>
      </w:r>
    </w:p>
    <w:p w:rsidR="000D535E" w:rsidRDefault="000D535E">
      <w:pPr>
        <w:pStyle w:val="ConsPlusNormal"/>
        <w:spacing w:before="240"/>
        <w:ind w:firstLine="540"/>
        <w:jc w:val="both"/>
      </w:pPr>
      <w:r>
        <w:t>При количестве объектов экспертизы менее 5 рекомендуется устанавливать корректирующий коэффициент равный 1, при количестве объектов экспертизы от 6 до 50 - равный 1,5, при количестве объектов экспертизы более 50 - равный 2.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right"/>
        <w:outlineLvl w:val="1"/>
      </w:pPr>
      <w:r>
        <w:t>Приложение</w:t>
      </w:r>
    </w:p>
    <w:p w:rsidR="000D535E" w:rsidRDefault="000D535E">
      <w:pPr>
        <w:pStyle w:val="ConsPlusNormal"/>
        <w:jc w:val="right"/>
      </w:pPr>
      <w:r>
        <w:t>к методическим рекомендациям</w:t>
      </w:r>
    </w:p>
    <w:p w:rsidR="000D535E" w:rsidRDefault="000D535E">
      <w:pPr>
        <w:pStyle w:val="ConsPlusNormal"/>
        <w:jc w:val="right"/>
      </w:pPr>
      <w:r>
        <w:t>по определению размера платы</w:t>
      </w:r>
    </w:p>
    <w:p w:rsidR="000D535E" w:rsidRDefault="000D535E">
      <w:pPr>
        <w:pStyle w:val="ConsPlusNormal"/>
        <w:jc w:val="right"/>
      </w:pPr>
      <w:r>
        <w:t>за проведение экспертизы качества</w:t>
      </w:r>
    </w:p>
    <w:p w:rsidR="000D535E" w:rsidRDefault="000D535E">
      <w:pPr>
        <w:pStyle w:val="ConsPlusNormal"/>
        <w:jc w:val="right"/>
      </w:pPr>
      <w:r>
        <w:t>специальной оценки условий труда,</w:t>
      </w:r>
    </w:p>
    <w:p w:rsidR="000D535E" w:rsidRDefault="000D535E">
      <w:pPr>
        <w:pStyle w:val="ConsPlusNormal"/>
        <w:jc w:val="right"/>
      </w:pPr>
      <w:r>
        <w:t>утвержденным приказом Министерства</w:t>
      </w:r>
    </w:p>
    <w:p w:rsidR="000D535E" w:rsidRDefault="000D535E">
      <w:pPr>
        <w:pStyle w:val="ConsPlusNormal"/>
        <w:jc w:val="right"/>
      </w:pPr>
      <w:r>
        <w:t>труда и социальной защиты</w:t>
      </w:r>
    </w:p>
    <w:p w:rsidR="000D535E" w:rsidRDefault="000D535E">
      <w:pPr>
        <w:pStyle w:val="ConsPlusNormal"/>
        <w:jc w:val="right"/>
      </w:pPr>
      <w:r>
        <w:t>Российской Федерации</w:t>
      </w:r>
    </w:p>
    <w:p w:rsidR="000D535E" w:rsidRDefault="000D535E">
      <w:pPr>
        <w:pStyle w:val="ConsPlusNormal"/>
        <w:jc w:val="right"/>
      </w:pPr>
      <w:r>
        <w:t>от 9 октября 2014 г. N 682н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center"/>
      </w:pPr>
      <w:bookmarkStart w:id="2" w:name="Par114"/>
      <w:bookmarkEnd w:id="2"/>
      <w:r>
        <w:t>РЕКОМЕНДУЕМЫЙ СОСТАВ И МАКСИМАЛЬНАЯ ТРУДОЕМКОСТЬ</w:t>
      </w:r>
    </w:p>
    <w:p w:rsidR="000D535E" w:rsidRDefault="000D535E">
      <w:pPr>
        <w:pStyle w:val="ConsPlusNormal"/>
        <w:jc w:val="center"/>
      </w:pPr>
      <w:r>
        <w:t>РАБОТ ПО ПРОВЕДЕНИЮ ЭКСПЕРТИЗЫ КАЧЕСТВА СПЕЦИАЛЬНОЙ ОЦЕНКИ</w:t>
      </w:r>
    </w:p>
    <w:p w:rsidR="000D535E" w:rsidRDefault="000D535E">
      <w:pPr>
        <w:pStyle w:val="ConsPlusNormal"/>
        <w:jc w:val="center"/>
      </w:pPr>
      <w:r>
        <w:t>УСЛОВИЙ ТРУДА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sectPr w:rsidR="000D535E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614"/>
        <w:gridCol w:w="5884"/>
        <w:gridCol w:w="1436"/>
      </w:tblGrid>
      <w:tr w:rsidR="000D535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jc w:val="center"/>
            </w:pPr>
            <w:r>
              <w:t>Состав работ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jc w:val="center"/>
            </w:pPr>
            <w:r>
              <w:t xml:space="preserve">Максимальная трудоемкость видов работ (человеко-дней) </w:t>
            </w:r>
            <w:hyperlink w:anchor="Par152" w:tooltip="&lt;1&gt; Трудоемкость выполнения работ может отличаться от максимальной в сторону уменьшения с учетом особенностей осуществляемой на рабочем месте деятельности, в том числе вида экономической деятельности работодателя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D535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both"/>
            </w:pPr>
            <w:r>
              <w:t>Регистрация и рассмотрение оснований для проведения экспертизы качества специальной оценки условий труда (далее - экспертиза) в целях определения полноты содержащихся в них сведений об объектах экспертизы и их достаточности для проведения экспертизы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ind w:firstLine="341"/>
              <w:jc w:val="both"/>
            </w:pPr>
            <w:r>
              <w:t>Регистрация заявления на проведение экспертизы (далее - заявление).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Назначение государственного гражданского служащего субъекта Российской Федерации или работника, занятого на должности, не являющейся должностью государственной гражданской службы субъекта Российской Федерации (далее - государственный эксперт), или группы государственных экспертов (формирование экспертной комиссии) для проведения экспертизы.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Определение полноты содержащихся в заявлении сведений об объектах экспертизы, их достаточности для проведения экспертизы.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Принятие решения о проведении (или об отказе в проведении) экспертизы.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Передача документов государственному эксперту/экспертной комиссии для проведения экспертизы или подготовка мотивированного отказа в проведении экспертизы.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t>0,8</w:t>
            </w:r>
          </w:p>
        </w:tc>
      </w:tr>
      <w:tr w:rsidR="000D535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</w:pPr>
            <w:r>
              <w:t>Проведение экспертизы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ind w:firstLine="341"/>
              <w:jc w:val="both"/>
            </w:pPr>
            <w:r>
              <w:t>Изучение и оценка сведений об организации, проводившей специальную оценку условий труда, ее испытательной лаборатории (центре) и средствах измерения, экспертах и иных работниках, участвовавших в проведении специальной оценки условий труда.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 xml:space="preserve">Изучение и оценка материалов идентификации потенциально вредных и (или) опасных </w:t>
            </w:r>
            <w:r>
              <w:lastRenderedPageBreak/>
              <w:t>производственных факторов.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Изучение и оценка материалов исследований (испытаний) и измерений вредных и (или) опасных производственных факторов.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Изучение и оценка материалов отнесения условий труда на рабочем месте к классу (подклассу) условий труда.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 xml:space="preserve">Изучение и оценка иных данных и сведений, содержащихся в отчете о проведении специальной оценки условий труда </w:t>
            </w:r>
            <w:hyperlink w:anchor="Par153" w:tooltip="&lt;2&gt; Форма утверждена приказом Министерства труда и социальной защиты Российской Федерации от 24 января 2014 г. N 33н &quot;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&quot; (зарегистрирован Министерством юстиции Российской Федерации 21 марта 2014 г. N 31689)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0D535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both"/>
            </w:pPr>
            <w:r>
              <w:t>Обследование рабочего места и проведение (при необходимости) исследований (испытаний) и измерений производственных факторов с привлечением аккредитованных в установленном порядке испытательных лабораторий (центров) (</w:t>
            </w:r>
            <w:r w:rsidR="00F44F06">
              <w:rPr>
                <w:noProof/>
                <w:position w:val="-9"/>
              </w:rPr>
              <w:drawing>
                <wp:inline distT="0" distB="0" distL="0" distR="0">
                  <wp:extent cx="390525" cy="2762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ind w:firstLine="341"/>
              <w:jc w:val="both"/>
            </w:pPr>
            <w:r>
              <w:t>Ознакомление с рабочим местом, в отношении которого проведена специальная оценка условий труда, и соответствующими технологическими процессами.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Ознакомление с документами, характеризующими рабочее место, технологические процессы, применяемые машины, оборудование и инструменты, а также сырье и материалы.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Опрос работника (работников), занятых на рабочем месте, членов комиссии по проведению специальной оценки условий труда.</w:t>
            </w:r>
          </w:p>
          <w:p w:rsidR="000D535E" w:rsidRDefault="000D535E">
            <w:pPr>
              <w:pStyle w:val="ConsPlusNormal"/>
              <w:ind w:firstLine="341"/>
              <w:jc w:val="both"/>
            </w:pPr>
            <w:r>
              <w:t>Проведение исследований (испытаний) и измерений производственных факторов на рабочем месте.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t>2</w:t>
            </w:r>
          </w:p>
        </w:tc>
      </w:tr>
      <w:tr w:rsidR="000D535E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</w:pPr>
            <w:r>
              <w:t>Оформление результатов экспертизы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5E" w:rsidRDefault="000D535E">
            <w:pPr>
              <w:pStyle w:val="ConsPlusNormal"/>
              <w:ind w:firstLine="283"/>
              <w:jc w:val="both"/>
            </w:pPr>
            <w:r>
              <w:t>Подготовка проекта заключения экспертизы.</w:t>
            </w:r>
          </w:p>
          <w:p w:rsidR="000D535E" w:rsidRDefault="000D535E">
            <w:pPr>
              <w:pStyle w:val="ConsPlusNormal"/>
              <w:ind w:firstLine="283"/>
              <w:jc w:val="both"/>
            </w:pPr>
            <w:r>
              <w:t>Согласование, утверждение и направление заявителю заключения экспертизы.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35E" w:rsidRDefault="000D535E">
            <w:pPr>
              <w:pStyle w:val="ConsPlusNormal"/>
              <w:jc w:val="center"/>
            </w:pPr>
            <w:r>
              <w:t>1</w:t>
            </w:r>
          </w:p>
        </w:tc>
      </w:tr>
    </w:tbl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ind w:firstLine="540"/>
        <w:jc w:val="both"/>
      </w:pPr>
      <w:r>
        <w:t>--------------------------------</w:t>
      </w:r>
    </w:p>
    <w:p w:rsidR="000D535E" w:rsidRDefault="000D535E">
      <w:pPr>
        <w:pStyle w:val="ConsPlusNormal"/>
        <w:spacing w:before="240"/>
        <w:ind w:firstLine="540"/>
        <w:jc w:val="both"/>
      </w:pPr>
      <w:bookmarkStart w:id="3" w:name="Par152"/>
      <w:bookmarkEnd w:id="3"/>
      <w:r>
        <w:t>&lt;1&gt; Трудоемкость выполнения работ может отличаться от максимальной в сторону уменьшения с учетом особенностей осуществляемой на рабочем месте деятельности, в том числе вида экономической деятельности работодателя.</w:t>
      </w:r>
    </w:p>
    <w:p w:rsidR="000D535E" w:rsidRDefault="000D535E">
      <w:pPr>
        <w:pStyle w:val="ConsPlusNormal"/>
        <w:spacing w:before="240"/>
        <w:ind w:firstLine="540"/>
        <w:jc w:val="both"/>
      </w:pPr>
      <w:bookmarkStart w:id="4" w:name="Par153"/>
      <w:bookmarkEnd w:id="4"/>
      <w:r>
        <w:t xml:space="preserve">&lt;2&gt; </w:t>
      </w:r>
      <w:hyperlink r:id="rId32" w:history="1">
        <w:r>
          <w:rPr>
            <w:color w:val="0000FF"/>
          </w:rPr>
          <w:t>Форма</w:t>
        </w:r>
      </w:hyperlink>
      <w:r>
        <w:t xml:space="preserve"> утверждена приказом Министерства труда и социальной защиты Российской Федерации от 24 января 2014 г. N 33н </w:t>
      </w:r>
      <w:r>
        <w:lastRenderedPageBreak/>
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21 марта 2014 г. N 31689).</w:t>
      </w: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jc w:val="both"/>
      </w:pPr>
    </w:p>
    <w:p w:rsidR="000D535E" w:rsidRDefault="000D53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535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78"/>
    <w:rsid w:val="000D535E"/>
    <w:rsid w:val="001D2978"/>
    <w:rsid w:val="00F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910D30-0A4F-477D-B039-C4140C7D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72to.ru/cons/cgi/online.cgi?req=doc&amp;base=LAW&amp;n=452984&amp;date=12.03.2025&amp;dst=100294&amp;field=134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theme" Target="theme/theme1.xml"/><Relationship Id="rId7" Type="http://schemas.openxmlformats.org/officeDocument/2006/relationships/hyperlink" Target="https://cons.72to.ru/cons/cgi/online.cgi?req=doc&amp;base=LAW&amp;n=185190&amp;date=12.03.2025&amp;dst=100005&amp;field=134" TargetMode="External"/><Relationship Id="rId12" Type="http://schemas.openxmlformats.org/officeDocument/2006/relationships/image" Target="media/image4.wmf"/><Relationship Id="rId17" Type="http://schemas.openxmlformats.org/officeDocument/2006/relationships/hyperlink" Target="https://cons.72to.ru/cons/cgi/online.cgi?req=doc&amp;base=LAW&amp;n=185190&amp;date=12.03.2025&amp;dst=100005&amp;field=134" TargetMode="External"/><Relationship Id="rId25" Type="http://schemas.openxmlformats.org/officeDocument/2006/relationships/image" Target="media/image16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hyperlink" Target="https://cons.72to.ru/cons/cgi/online.cgi?req=doc&amp;base=LAW&amp;n=484474&amp;date=12.03.2025&amp;dst=43&amp;field=134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hyperlink" Target="https://cons.72to.ru/cons/cgi/online.cgi?req=doc&amp;base=LAW&amp;n=360445&amp;date=12.03.2025&amp;dst=103391&amp;field=134" TargetMode="External"/><Relationship Id="rId5" Type="http://schemas.openxmlformats.org/officeDocument/2006/relationships/hyperlink" Target="https://cons.72to.ru/cons/cgi/online.cgi?req=doc&amp;base=LAW&amp;n=452984&amp;date=12.03.2025&amp;dst=100295&amp;field=134" TargetMode="Externa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hyperlink" Target="https://cons.72to.ru/cons/cgi/online.cgi?req=doc&amp;base=LAW&amp;n=185190&amp;date=12.03.2025&amp;dst=100005&amp;field=134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2273</Words>
  <Characters>12957</Characters>
  <Application>Microsoft Office Word</Application>
  <DocSecurity>2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09.10.2014 N 682н(ред. от 22.07.2015)"Об утверждении методических рекомендаций по определению размера платы за проведение экспертизы качества специальной оценки условий труда"</vt:lpstr>
    </vt:vector>
  </TitlesOfParts>
  <Company>КонсультантПлюс Версия 4023.00.50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09.10.2014 N 682н(ред. от 22.07.2015)"Об утверждении методических рекомендаций по определению размера платы за проведение экспертизы качества специальной оценки условий труда"</dc:title>
  <dc:subject/>
  <dc:creator>Лукина Татьяна Викторовна</dc:creator>
  <cp:keywords/>
  <dc:description/>
  <cp:lastModifiedBy>Кочнев Владимир Николаевич</cp:lastModifiedBy>
  <cp:revision>2</cp:revision>
  <dcterms:created xsi:type="dcterms:W3CDTF">2025-03-19T08:48:00Z</dcterms:created>
  <dcterms:modified xsi:type="dcterms:W3CDTF">2025-03-19T08:48:00Z</dcterms:modified>
</cp:coreProperties>
</file>