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numPr>
          <w:ilvl w:val="0"/>
          <w:numId w:val="0"/>
        </w:numPr>
        <w:ind w:hanging="0" w:left="0"/>
        <w:jc w:val="right"/>
        <w:outlineLvl w:val="0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color w:val="000000"/>
        </w:rPr>
      </w:pPr>
      <w:r>
        <w:rPr>
          <w:color w:val="000000"/>
        </w:rPr>
        <w:t>Приложение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к распоряжению Департамента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имущественных отношений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Тюменской области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от 21.01.2022 N 73/08-2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ind w:hanging="0" w:left="0"/>
        <w:jc w:val="center"/>
        <w:rPr>
          <w:color w:val="000000"/>
        </w:rPr>
      </w:pPr>
      <w:bookmarkStart w:id="0" w:name="Par34"/>
      <w:bookmarkEnd w:id="0"/>
      <w:r>
        <w:rPr>
          <w:color w:val="000000"/>
        </w:rPr>
        <w:t>АДМИНИСТРАТИВНЫЙ РЕГЛАМЕНТ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ПРЕДОСТАВЛЕНИЯ ДЕПАРТАМЕНТОМ ИМУЩЕСТВЕННЫХ ОТНОШЕНИЙ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ТЮМЕНСКОЙ ОБЛАСТИ ГОСУДАРСТВЕННОЙ УСЛУГИ "РАССМОТРЕНИЕ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ЗАЯВЛЕНИЯ О ЗАКЛЮЧЕНИИ ДОГОВОРА О КОМПЛЕКСНОМ РАЗВИТИИ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ТЕРРИТОРИИ ПО ИНИЦИАТИВЕ ПРАВООБЛАДАТЕЛЕЙ"</w:t>
      </w:r>
    </w:p>
    <w:p>
      <w:pPr>
        <w:pStyle w:val="ConsPlusNormal"/>
        <w:rPr>
          <w:color w:val="000000"/>
        </w:rPr>
      </w:pPr>
      <w:r>
        <w:rPr>
          <w:color w:val="000000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2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распоряжения Департамента имущественных отношений Тюменской области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13.02.2024 N 202/08-2, </w:t>
            </w:r>
            <w:r>
              <w:rPr>
                <w:color w:val="000000"/>
              </w:rPr>
              <w:t>от 25.10.2024 № 471/08-2</w:t>
            </w:r>
            <w:r>
              <w:rPr>
                <w:color w:val="000000"/>
              </w:rPr>
              <w:t>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color w:val="000000"/>
        </w:rPr>
      </w:pPr>
      <w:r>
        <w:rPr>
          <w:color w:val="000000"/>
        </w:rPr>
        <w:t>I. Общие положения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Предмет регулирования Административного регламента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1.1. Административный регламент предоставления Департаментом имущественных отношений Тюменской области (далее - Департамент) государственной услуги "Рассмотрение заявления о заключении договора о комплексном развитии территории по инициативе правообладателей" (далее -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Департамента при осуществлении полномочий по рассмотрению заявления о заключении договора о комплексном развитии территории по инициативе правообладателей (далее - государственная услуга).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Государственная услуга предоставляется в соответствии с постановлением Правительства Тюменской области от 21.05.2021 N 286-п "Об утверждении Порядка заключения договора о комплексном развитии территории по инициативе правообладателей без проведения торгов" (далее - Порядок).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Круг заявителей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bookmarkStart w:id="1" w:name="Par52"/>
      <w:bookmarkEnd w:id="1"/>
      <w:r>
        <w:rPr>
          <w:color w:val="000000"/>
        </w:rPr>
        <w:t xml:space="preserve">1.2. Заявителями на получение государственной услуги (далее - Заявитель) являются один или несколько правообладателей земельных участков и (или) объектов недвижимого имущества, расположенных в границах комплексного развития территории, </w:t>
      </w:r>
      <w:r>
        <w:rPr>
          <w:b w:val="false"/>
          <w:bCs w:val="false"/>
          <w:color w:val="000000"/>
          <w:shd w:fill="auto" w:val="clear"/>
        </w:rPr>
        <w:t>за исключением правообладателей линейных объектов,</w:t>
      </w:r>
      <w:r>
        <w:rPr>
          <w:b/>
          <w:bCs/>
          <w:color w:val="000000"/>
          <w:shd w:fill="auto" w:val="clear"/>
        </w:rPr>
        <w:t xml:space="preserve"> </w:t>
      </w:r>
      <w:r>
        <w:rPr>
          <w:color w:val="000000"/>
        </w:rPr>
        <w:t>в том числе лица, которым земельные участки, находящиеся в государственной или муниципальной собственности, предоставлены в аренду, в безвозмездное пользование в соответствии с земельным законодательством и срок действия прав которых на земельный участок составляет на день заключения договора о комплексном развитии территории по инициативе правообладателей не менее чем пять лет.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- представитель).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Требование предоставления Заявителю государственной услуги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соответствии с вариантом предоставления государственной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услуги, соответствующим признакам Заявителя, определенным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результате анкетирования, проводимого Департаментом,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а также результата, за предоставлением которого обратился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Заявитель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 xml:space="preserve">1.4. Порядок предоставления государственной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>
        <w:rPr>
          <w:b w:val="false"/>
          <w:bCs w:val="false"/>
          <w:color w:val="000000"/>
          <w:shd w:fill="auto" w:val="clear"/>
        </w:rPr>
        <w:t>предоставления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государственной услуги, за получением которого они обратились, не устанавливаются.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color w:val="000000"/>
        </w:rPr>
      </w:pPr>
      <w:r>
        <w:rPr>
          <w:color w:val="000000"/>
        </w:rPr>
        <w:t>II. Стандарт предоставления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Наименование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2.1. Государственная услуга "Рассмотрение заявления о заключении договора о комплексном развитии территории по инициативе правообладателей".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Наименование органа государственной власти,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предоставляющего государственную услугу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2.2. Государственную услугу предоставляет Департамент.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Государственная услуга предоставляется Департаментом в случае комплексного развития территории в городском округе город Тюмень, в Тюменском муниципальном районе.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2.3. В предоставлении государственной услуги принимают участие: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Государственное казенное учреждение Тюменской области "Фонд имущества Тюменской области", подведомственное Департаменту (далее - ГКУ ТО "ФИТО").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При предоставлении государственной услуги Департамент взаимодействует с: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Главным управлением строительства Тюменской области в части получения письменного согласия на включение в договор о комплексном развитии территории по инициативе правообладателей объектов регионального значения в случае нахождения на территории, подлежащей комплексному развитию, таких объектов;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Департаментом жилищно-коммунального хозяйства Тюменской области в части получения письменного согласия на включение в договор о комплексном развитии территории по инициативе правообладателей объектов электро-, газо-, тепло-, водоснабжения и водоотведения регионального значения в случае нахождения на территории, подлежащей комплексному развитию, таких объектов;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Комитетом по охране и использованию объектов историко-культурного наследия Тюменской области в части получения письменного согласия на включение в договор о комплексном развитии территории по инициативе правообладателей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подлежащих сохранению в соответствии с законодательством Российской Федерации в случае нахождения на территории, подлежащей комплексному развитию, таких объектов;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Департаментом по охране, контролю и регулированию использования объектов животного мира и среды их обитания Тюменской области в части получения письменного согласия на включение в договор о комплексном развитии территории по инициативе правообладателей особо охраняемых природных территорий регионального значения в случае нахождения на территории, подлежащей комплексному развитию, таких объектов;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Северо-Уральским межрегиональным Управлением Росприроднадзора в части получения письменного согласия на включение в договор о комплексном развитии территории по инициативе правообладателей особо охраняемых природных территорий федерального значения в случае нахождения на территории, подлежащей комплексному развитию, таких объектов;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исполнительными органами государственной власти и органами местного самоуправления в части получения письменного согласия в случае, если земельный участок и (или)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предусматривают изменение вида разрешенного использования земельного участка и (или) расположенного на нем объекта недвижимого имущества;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иными органами государственной власти, органами местного самоуправления, уполномоченными на предоставление сведений, необходимых для предоставления государственной услуги.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2.4. При предоставлении государственной услуги Департаменту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Описание результата предоставления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2.5. Результатом предоставления государственной услуги является: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направление (выдача) подписанного договора о комплексном развитии территории по инициативе правообладателей;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направление (выдача) уведомления об отказе в заключении договора о комплексном развитии территории по инициативе правообладателей.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2.6. Результат</w:t>
      </w:r>
      <w:r>
        <w:rPr>
          <w:color w:val="000000"/>
          <w:shd w:fill="auto" w:val="clear"/>
        </w:rPr>
        <w:t xml:space="preserve"> </w:t>
      </w:r>
      <w:r>
        <w:rPr>
          <w:b w:val="false"/>
          <w:bCs w:val="false"/>
          <w:color w:val="000000"/>
          <w:shd w:fill="auto" w:val="clear"/>
        </w:rPr>
        <w:t>предоставления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государственной услуги может быть получен Заявителем или представителем: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лично в форме документа на бумажном носителе в Департаменте;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по почте в форме документа на бумажном носителе по указанному Заявителем (представителем) в заявлении адресу.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Срок предоставления государственной услуги, в том числе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с учетом необходимости обращения в организации, участвующие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предоставлении государственной услуги, срок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приостановления предоставления государственной услуги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случае, если возможность приостановления предусмотрена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законодательством Российской Федерации или Тюменской области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2.7. Срок со дня </w:t>
      </w:r>
      <w:r>
        <w:rPr>
          <w:strike w:val="false"/>
          <w:dstrike w:val="false"/>
          <w:color w:val="000000"/>
        </w:rPr>
        <w:t xml:space="preserve">поступления </w:t>
      </w:r>
      <w:r>
        <w:rPr>
          <w:color w:val="000000"/>
        </w:rPr>
        <w:t xml:space="preserve">заявления о заключении договора о комплексном развитии территории по инициативе правообладателей по день направления (выдачи) Заявителю подписанного договора о комплексном развитии территории по инициативе правообладателей либо уведомления об отказе в заключении договора о комплексном развитии территории по инициативе правообладателей — </w:t>
      </w:r>
      <w:r>
        <w:rPr>
          <w:b w:val="false"/>
          <w:bCs w:val="false"/>
          <w:color w:val="000000"/>
          <w:shd w:fill="auto" w:val="clear"/>
        </w:rPr>
        <w:t>60</w:t>
      </w:r>
      <w:r>
        <w:rPr>
          <w:b w:val="false"/>
          <w:bCs w:val="false"/>
          <w:color w:val="000000"/>
        </w:rPr>
        <w:t xml:space="preserve"> </w:t>
      </w:r>
      <w:r>
        <w:rPr>
          <w:color w:val="000000"/>
        </w:rPr>
        <w:t>календарных дней.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Нормативные правовые акты, регулирующие отношения,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возникающие в связи с предоставлением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2.8.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портале органов государственной власти Тюменской области (https://admtyumen.ru) и в электронном региональном реестре государственных услуг в соответствии с постановлением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 (далее - постановление от 30.05.2011 N 173-п).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Исчерпывающий перечень документов, необходимых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соответствии с нормативными правовыми актами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для предоставления государственной услуги и услуг, которые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являются необходимыми и обязательными для предоставления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государственной услуги, подлежащих представлению Заявителем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bookmarkStart w:id="2" w:name="Par116"/>
      <w:bookmarkEnd w:id="2"/>
      <w:r>
        <w:rPr>
          <w:color w:val="000000"/>
        </w:rPr>
        <w:t>2.9. Для получения государственной услуги Заявитель предоставляет: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3" w:name="Par117"/>
      <w:bookmarkEnd w:id="3"/>
      <w:r>
        <w:rPr>
          <w:color w:val="000000"/>
        </w:rPr>
        <w:t>заявление о заключении договора о комплексном развитии территории по инициативе правообладателей в произвольной форме;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4" w:name="Par118"/>
      <w:bookmarkEnd w:id="4"/>
      <w:r>
        <w:rPr>
          <w:color w:val="000000"/>
        </w:rPr>
        <w:t>соглашение в случае, если правообладателей не менее чем два;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5" w:name="Par119"/>
      <w:bookmarkEnd w:id="5"/>
      <w:r>
        <w:rPr>
          <w:color w:val="000000"/>
        </w:rPr>
        <w:t>перечень планируемых мероприятий, связанных с архитектурно-строительным проектированием, со строительством, сносом объектов капитального строительства, в целях реализации договора о комплексном развитии территории по инициативе правообладателей, либо подготовленную в соответствии с действующим законодательством документацию по планировке территории в составе проекта планировки территории и проекта межевания территории;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6" w:name="Par120"/>
      <w:bookmarkEnd w:id="6"/>
      <w:r>
        <w:rPr>
          <w:color w:val="000000"/>
        </w:rPr>
        <w:t>схему границ территории, подлежащей комплексному развитию по инициативе правообладателей, на которой графически отображаются все объекты капитального строительства, которая разрабатывается с использованием топографического материала масштаба 1:2000 или 1:500 с отображением наименований элементов планировочной структуры, объектов капитального строительства, за исключением линейных объектов, в системе координат, установленной для ведения Единого государственного реестра недвижимости на соответствующей территории;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7" w:name="Par121"/>
      <w:bookmarkEnd w:id="7"/>
      <w:r>
        <w:rPr>
          <w:color w:val="000000"/>
        </w:rPr>
        <w:t>письменное согласие собственника земельного участка и (или) расположенного на нем объекта недвижимого имущества - в случае, если земельный участок и (или) расположенный на нем объект недвижимого имущества находятся в частной собственности;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копию документа, подтверждающего полномочия представителя Заявителя, в случае если заявление о заключении договора о комплексном развитии территории по инициативе правообладателей подается представителем Заявителя.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2.10. Заявление Заявитель вправе представить в Департамент: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лично на бумажном носителе;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посредством почтовой связи на бумажном носителе.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2.11. При личном обращении Заявителя или представителя Заявителя за предоставлением государственной услуги предъявляется для обозрения документ, удостоверяющий личность Заявителя или представителя Заявителя.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Исчерпывающий перечень документов, необходимых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соответствии с нормативными правовыми актами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для предоставления государственной услуги, которые находятся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распоряжении государственных органов, органов местного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самоуправления и иных органов, участвующих в предоставлении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государственных услуг, и которые Заявитель вправе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представить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bookmarkStart w:id="8" w:name="Par136"/>
      <w:bookmarkEnd w:id="8"/>
      <w:r>
        <w:rPr>
          <w:color w:val="000000"/>
        </w:rPr>
        <w:t>2.12. Заявитель вправе предоставить следующие документы: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9" w:name="Par137"/>
      <w:bookmarkEnd w:id="9"/>
      <w:r>
        <w:rPr>
          <w:color w:val="000000"/>
        </w:rPr>
        <w:t>письменное согласие, полученное до обращения с заявлением о заключении договора о комплексном развитии территории по инициативе правообладателей, необходимое в случае нахождения на территории, подлежащей комплексному развитию по инициативе правообладателей, соответствующих объектов или земельных участков: от Главного управления строительства Тюменской области в части включения в договор о комплексном развитии территории по инициативе правообладателей объектов регионального значения, от Департамента жилищно-коммунального хозяйства Тюменской области в части включения в договор о комплексном развитии территории по инициативе правообладателей объектов электро-, газо-, тепло-, водоснабжения и водоотведения регионального значения, от Комитета по охране и использованию объектов историко-культурного наследия Тюменской области в части включения в договор о комплексном развитии территории по инициативе правообладателей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подлежащих сохранению в соответствии с законодательством Российской Федерации, от Департамента по охране, контролю и регулированию использования объектов животного мира и среды их обитания Тюменской области в части включения в договор о комплексном развитии территории по инициативе правообладателей особо охраняемых природных территорий регионального значения, от Северо-Уральского межрегионального Управления Росприроднадзора в части включения в договор о комплексном развитии территории по инициативе правообладателей особо охраняемых природных территорий федерального значения, от Департамента имущественных отношений Тюменской области в части включения в договор о комплексном развитии территории по инициативе правообладателей объектов недвижимости, находящихся в собственности Тюменской области, в том числе земельных участков, а также иных земельных участков, полномочия в отношении которых указанный орган реализует в соответствии с действующим законодательством;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0" w:name="Par138"/>
      <w:bookmarkEnd w:id="10"/>
      <w:r>
        <w:rPr>
          <w:color w:val="000000"/>
        </w:rPr>
        <w:t>письменное согласие исполнительного органа государственной власти или органа местного самоуправления - в случае, если земельный участок и (или)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предусматривают изменение вида разрешенного использования земельного участка и (или) расположенного на нем объекта недвижимого имущества.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2.13. При предоставлении государственной услуги запрещается требовать от Заявителя: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2.13.1.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2.13.2. предоставления документов и информации, которые в соответствии с нормативными правовыми актами Российской Федерации и Тюменской области, муниципальными правовыми актами,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2.13.3.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наличие ошибок в Запросе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предоставленный ранее комплект документов;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выявление документально подтвержденного факта (признаков) ошибочного или противоправного действия (бездействия) работника Учреждения,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Запроса и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Учреждения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Исчерпывающий перечень оснований для отказа в приеме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документов, необходимых для предоставления государственной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2.14. Основания для отказа в приеме заявления и документов, необходимых для предоставления государственной услуги, отсутствуют.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Исчерпывающий перечень оснований для приостановления или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отказа в предоставлении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2.15. Основания для приостановления предоставления государственной услуги отсутствуют.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2.16. Основаниями для отказа в предоставлении государственной услуги являются: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1" w:name="Par159"/>
      <w:bookmarkEnd w:id="11"/>
      <w:r>
        <w:rPr>
          <w:color w:val="000000"/>
        </w:rPr>
        <w:t>отсутствие прав на земельные участки (за исключением случая согласования включения в границы территории, подлежащей комплексному развитию по инициативе правообладателей, земельных участков, указанных в части 2 статьи 70 Градостроительного кодекса Российской Федерации) и (или) на расположенные на них объекты недвижимости (права собственности, права аренды либо безвозмездного пользования) у правообладателя или правообладателей или срок действия их прав на земельный участок составляет на день заключения договора о комплексном развитии территории менее чем пять лет;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2" w:name="Par160"/>
      <w:bookmarkEnd w:id="12"/>
      <w:r>
        <w:rPr>
          <w:color w:val="000000"/>
        </w:rPr>
        <w:t>несоответствие содержания соглашения требованиям, установленным пунктом 5 Порядка;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3" w:name="Par161"/>
      <w:bookmarkEnd w:id="13"/>
      <w:r>
        <w:rPr>
          <w:color w:val="000000"/>
        </w:rPr>
        <w:t>непредоставление документов, указанных в абзацах втором, четвертом и пятом пункта 2.9 Административного регламента, а также документов, которые должны быть предоставлены в целях заключения договора о комплексном развитии территории по инициативе правообладателей в зависимости от случаев, указанных в абзацах третьем и шестом пункта 2.9 Административного регламента;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4" w:name="Par162"/>
      <w:bookmarkEnd w:id="14"/>
      <w:r>
        <w:rPr>
          <w:color w:val="000000"/>
        </w:rPr>
        <w:t>несоответствие планируемых мероприятий требованиям, установленным законодательством о градостроительной деятельности (за исключением случая, предусмотренного пунктом 8.1 Порядка), гражданским законодательством, жилищным законодательством, земельным законодательством, законодательством об охране объектов культурного наследия (памятников истории и культуры) народов Российской Федерации, законодательством в области охраны окружающей среды, законодательством в области особо охраняемых природных территорий, лесным законодательством, а также иным федеральным и областным законодательством, муниципальными правовыми актами;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5" w:name="Par163"/>
      <w:bookmarkEnd w:id="15"/>
      <w:r>
        <w:rPr>
          <w:color w:val="000000"/>
        </w:rPr>
        <w:t>получение уполномоченным органом в рамках межведомственного взаимодействия информации об отсутствии письменных согласий, предусмотренных абзацем вторым и (или) абзацем третьим пункта 2.12 Административного регламента.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Способы, размер и основания взимания государственной пошлины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или иной платы, взимаемой за предоставление государственной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2.17. Предоставление государственной услуги осуществляется бесплатно.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Перечень услуг, которые являются необходимыми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 обязательными для предоставления государственной услуги,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 способы, размер и основания взимания платы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за предоставление услуг, которые являются необходимыми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 обязательными для предоставления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2.18. 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Максимальный срок ожидания в очереди при подаче запроса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о предоставлении государственной услуги, услуги,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предоставляемой организацией, участвующей в предоставлении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государственной услуги, и при получении результата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предоставления таких услуг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2.19. Максимальный срок ожидания в очереди при подаче заявления о предоставлении государственной услуги и при получении результата </w:t>
      </w:r>
      <w:r>
        <w:rPr>
          <w:b w:val="false"/>
          <w:bCs w:val="false"/>
          <w:color w:val="000000"/>
          <w:shd w:fill="auto" w:val="clear"/>
        </w:rPr>
        <w:t>предоставления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государственной услуги составляет не более 15 минут.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Срок регистрации запроса Заявителя о предоставлении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государственной услуги и услуги, предоставляемой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организацией, участвующей в предоставлении государственной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2.20. Регистрация заявления и документов для предоставления государственной услуги осуществляется не позднее рабочего дня, следующего за днем их поступления в Департамент.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Требования к помещениям, в которых предоставляются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государственная услуга, услуга, предоставляемая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организацией, участвующей в предоставлении государственной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услуги, к месту ожидания и приема Заявителей, размещению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 оформлению визуальной, текстовой и мультимедийной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информации о порядке предоставления таких услуг, в том числе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к обеспечению доступности для инвалидов указанных объектов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соответствии с законодательством Российской Федерации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о социальной защите инвалидов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2.21. Административное здание Департамента, в котором предоставляется государственная услуга, должно обеспечивать удобные и комфортные условия для Заявителей.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Центральный вход в здание Департамента должен быть оборудован информационной табличкой (вывеской), содержащей информацию: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наименование;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местонахождение и юридический адрес;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режим работы;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график приема;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номера телефонов для справок.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Помещения, в которых предоставляется государственная услуга, оснащаются: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противопожарной системой и средствами пожаротушения;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системой оповещения о возникновении чрезвычайной ситуации;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средствами оказания первой медицинской помощи;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туалетными комнатами для посетителей.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Зал ожидания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номера кабинета и наименования отдела;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фамилии, имени и отчества (при наличии), должности ответственного лица за прием документов;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графика приема Заявителей.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а) возможность беспрепятственного входа в объекты и выхода из них;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с учетом рекомендаций Всероссийского общества слепых;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з) размещение помещений, в которых предоставляется услуга, преимущественно на нижних этажах зданий;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и) выделение на стоянке (остановке) транспортных средств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Обеспечивается создание следующих условий доступности государственной услуги: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д) другие условия доступности государственной услуги, предусмотренные нормативными и правовыми актами.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2.22. В залах ожидания Департамента размещаются нормативные правовые акты,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Показатели доступности и качества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2.23. Основными показателями доступности предоставления государственной услуги являются: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2.23.1.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системе "Интернет"), средствах массовой информации;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2.23.2.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2.23.3. доступность электронных форм документов, необходимых для предоставления государственной услуги;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2.23.4. удобство информирования Заявителя о ходе предоставления государственной услуги, а также получения результата предоставления государственной услуги.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2.24. Основными показателями качества государственной услуги являются: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2.24.1. своевременность предоставления государственной услуги в соответствии со стандартом ее предоставления, установленным Административным регламентом;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2.24.2.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2.24.3.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2.24.4. отсутствие нарушений установленных сроков в процессе предоставления государственной услуги;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2.24.5. отсутствие заявлений об оспаривании решений, действий (бездействия) Департамента,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Иные требования, в том числе учитывающие случаи и порядок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предоставления государственной услуги в упреждающем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(проактивном) режиме, особенности предоставления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государственной услуги в Многофункциональных центрах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предоставления государственных и муниципальных услуг,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особенности предоставления государственной услуги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по экстерриториальному принципу и особенности предоставления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государственной услуги в электронной форме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2.25. Государственная услуга в многофункциональных центрах предоставления государственных и муниципальных услуг (далее - Многофункциональный центр) и по экстерриториальному принципу не предоставляется.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2.26. Предоставление государственной услуги в электронной форме не предусмотрено.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2.27. Предоставление государственной услуги в упреждающем (проактивном) режиме не осуществляется.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color w:val="000000"/>
        </w:rPr>
      </w:pPr>
      <w:r>
        <w:rPr>
          <w:color w:val="000000"/>
        </w:rPr>
        <w:t>III. Состав, последовательность и сроки выполнения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административных процедур (действий), требования к порядку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их выполнения, в том числе особенности выполнения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административных процедур (действий) в электронной форме,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особенности выполнения административных процедур (действий)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Многофункциональных центрах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Исчерпывающий перечень административных процедур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3.1. Предоставление государственной услуги включает в себя следующие административные процедуры: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1) прием и регистрация Департаментом заявления и документов: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а) регистрация заявления и документов;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б) направление Заявителю (представителю) уведомления о приеме заявления;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2) Рассмотрение сформированного дела по заявлению: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а) анализ документов, направление межведомственных запросов;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б) установление наличия или отсутствия оснований для отказа в предоставлении государственной услуги;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в) подготовка, регистрация и подписание Департаментом мотивированного уведомления об отказе в заключении договора о комплексном развитии территории по инициативе правообладателей;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г) подготовка, регистрация и подписание договора о комплексном развитии территории по инициативе правообладателей.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3.2. Детальное описание административных процедур изложено в Приложении к Административному регламенту.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Особенности выполнения административных процедур (действий)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Многофункциональных центрах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3.3. Государственная услуга в Многофункциональных центрах не предоставляется.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Порядок исправления допущенных опечаток и ошибок в выданных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в результате предоставления государственной услуги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документах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3.4. В случае выявления опечаток и ошибок в документах, выданных в результате предоставления государственной услуги, Заявитель вправе обратиться в Департамент с заявлением об исправлении опечаток и ошибок, в котором содержится указание на их описание.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3.5. Департамент при получении заявления: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осуществляет регистрацию заявления в день его поступления;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3.6. В случае выявления опечаток и ошибок в документах, являющихся результатом предоставления государственной услуги, обеспечивает их устранение путем составления нового документа.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3.7. Срок устранения опечаток и ошибок не должен превышать 3 рабочих дней с даты регистрации заявления.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6" w:name="Par309"/>
      <w:bookmarkEnd w:id="16"/>
      <w:r>
        <w:rPr>
          <w:color w:val="000000"/>
        </w:rPr>
        <w:t>3.8. В случае отсутствия опечаток и ошибок в выданных в результате предоставления государственной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государственной услуги документах.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3.9. Направление (выдача) документа, которым устранены опечатки и ошибки или письменного ответа, предусмотренного в пункте 3.8 Административного регламента, осуществляется в течение 1 рабочего дня со дня их принятия способом получения результата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hd w:fill="auto" w:val="clear"/>
        </w:rPr>
        <w:t>предоставления государственной услуги,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указанным Заявителем в заявлении.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color w:val="000000"/>
        </w:rPr>
      </w:pPr>
      <w:r>
        <w:rPr>
          <w:color w:val="000000"/>
        </w:rPr>
        <w:t>IV. Формы контроля за исполнением регламента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Порядок осуществления текущего контроля за соблюдением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 исполнением ответственными должностными лицами положений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регламента и иных нормативных правовых актов,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устанавливающих требования к предоставлению государственной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услуги, а также принятием ими решений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государственной услуги, осуществляет на постоянной основе начальник управления инвестиционной деятельности Департамента (в отношении сотрудников управления), заместитель Губернатора Тюменской области, директор Департамента.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Департамента.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Текущий контроль осуществляется путем: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выявления и устранения нарушений прав граждан;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Порядок и периодичность осуществления плановых и внеплановых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проверок полноты и качества предоставления государственной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услуги, в том числе порядок и формы контроля за полнотой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 качеством предоставления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4.2. 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4.3. Плановые проверки осуществляются в рамках проведения внутреннего мониторинга качества предоставления государственной услуги в порядке, установленном ненормативным правовым актом (приказом) Департамента.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При плановой проверке полноты и качества предоставления государственной услуги контролю подлежат: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соблюдение сроков предоставления государственной услуги;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соблюдение положений Административного регламента;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правильность и обоснованность принятого решения об отказе в предоставлении государственной услуги.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Основанием для проведения внеплановых проверок являются: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Тюменской области;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Срок проведения внеплановой проверки не может превышать 15 рабочих дней со дня поступления письменного обращения в Департамент.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Ответственность должностных лиц за решения и действия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(бездействие), принимаемые (осуществляемые) ими в ходе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предоставления государственной услуги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4.4. По результатам проведенных проверок в случае выявления нарушений положений Административного регламента, законодательства Российской Федерации, Тюменской области,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color w:val="000000"/>
        </w:rPr>
      </w:pPr>
      <w:r>
        <w:rPr>
          <w:color w:val="000000"/>
        </w:rPr>
        <w:t>Требования к порядку и формам контроля за предоставлением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государственной услуги, в том числе со стороны граждан, их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объединений и организаций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4.5.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Граждане, их объединения и организации также имеют право: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направлять замечания и предложения по улучшению доступности и качества предоставления государственной услуги;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вносить предложения о мерах по устранению нарушений Административного регламента.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4.6. Должностные лица Департамента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4.7. Общественный контроль за исполнением Административного регламента со стороны граждан осуществляется в порядке, установленном Федеральным законом от 21.07.2014 N 212-ФЗ "Об основах общественного контроля в Российской Федерации".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color w:val="000000"/>
        </w:rPr>
      </w:pPr>
      <w:r>
        <w:rPr>
          <w:color w:val="000000"/>
        </w:rPr>
        <w:t>V. Досудебный (внесудебный) порядок обжалования решений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и действий (бездействия) Департамента, Многофункционального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центра, организаций, предоставляющих государственную услугу,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а также их должностных лиц, государственных служащих,</w:t>
      </w:r>
    </w:p>
    <w:p>
      <w:pPr>
        <w:pStyle w:val="ConsPlusTitle"/>
        <w:ind w:hanging="0" w:left="0"/>
        <w:jc w:val="center"/>
        <w:rPr>
          <w:color w:val="000000"/>
        </w:rPr>
      </w:pPr>
      <w:r>
        <w:rPr>
          <w:color w:val="000000"/>
        </w:rPr>
        <w:t>работников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5.1. Заявитель имеет право на досудебное (внесудебное) обжалование действий (бездействия) и (или) решений, принятых (осуществленных) Департаментом, должностными лицами Департамента, государственными служащими при предоставлении государственной услуги (далее - жалоба) в порядке, предусмотренном Федеральным законом N 210-ФЗ.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5.2. Информация, указанная в настоящем разделе Административного регламента, размещается на Официальном портале органов государственной власти Тюменской области и в электронном региональном реестре государственных услуг в соответствии с постановлением от 30.05.2011 N 173-п.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5.3. Жалоба Заявителя на нарушение порядка предоставления государственной услуги Департаментом, должностным лицом, государственным служащим Департамента подается заместителю Губернатора Тюменской области, директору Департамента в письменной форме на бумажном носителе либо в электронной форме.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Жалоба подается (направляется) Заявителем в Департамент следующими способами: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- в форме документа на бумажном носителе - в Департамент;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- в форме документа на бумажном носителе - по почте в адрес Департамента;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- в форме электронного документа - посредством использования официальной электронной почты Департамента (dio@72to.ru);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- в форме электронного документа - посредством Единого портала (https://www.gosuslugi.ru/);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- в форме электронного документа - посредством Портала услуг Тюменской области http://uslugi.admtyumen.ru;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- через Многофункциональный центр;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- через Официальный портал органов государственной власти Тюменской области.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5.4. Информирование Заявителей о порядке подачи и рассмотрения жалобы осуществляется путем размещения информации: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на Официальном портале органов государственной власти Тюменской области по адресу: https://admtyumen.ru;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в электронном региональном реестре государственных услуг на Портале услуг Тюменской области в информационно-телекоммуникационной сети Интернет по адресу: http://uslugi.admtyumen.ru;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на информационных стендах в Департаменте.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5.5. Порядок досудебного (внесудебного) обжалования решений и действий (бездействия) Департамента, должностных лиц Департамента, государственных служащих регулируется: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Федеральным законом N 210-ФЗ;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постановлением Правительства Тюменской области от 07.03.2012 N 68-п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МФЦ";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r>
        <w:rPr>
          <w:color w:val="000000"/>
        </w:rPr>
        <w:t>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color w:val="000000"/>
        </w:rPr>
        <w:t>Приложение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предоставления Департаментом имущественных отношений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Тюменской области государственной услуги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"Рассмотрение заявления о заключении договора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о комплексном развитии территории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по инициативе правообладателей"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</w:r>
    </w:p>
    <w:tbl>
      <w:tblPr>
        <w:tblW w:w="1458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0"/>
        <w:gridCol w:w="2220"/>
        <w:gridCol w:w="3052"/>
        <w:gridCol w:w="3842"/>
        <w:gridCol w:w="4848"/>
      </w:tblGrid>
      <w:tr>
        <w:trPr/>
        <w:tc>
          <w:tcPr>
            <w:tcW w:w="1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bookmarkStart w:id="17" w:name="Par398"/>
            <w:bookmarkEnd w:id="17"/>
            <w:r>
              <w:rPr>
                <w:color w:val="000000"/>
              </w:rPr>
              <w:t>СОСТАВ,</w:t>
            </w:r>
          </w:p>
          <w:p>
            <w:pPr>
              <w:pStyle w:val="ConsPlusTitle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ПОСЛЕДОВАТЕЛЬНОСТЬ И СРОКИ ВЫПОЛНЕНИЯ АДМИНИСТРАТИВНЫХ ПРОЦЕДУР (ДЕЙСТВИЙ), ТРЕБОВАНИЯ К ПОРЯДКУ ИХ ВЫПОЛНЕНИЯ, ПРИ ПРЕДОСТАВЛЕНИИ ГОСУДАРСТВЕННОЙ УСЛУГИ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административной процедуры (действия)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 административной процедуры (действия)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описание порядка исполнения административной процедуры (действия)</w:t>
            </w:r>
          </w:p>
        </w:tc>
      </w:tr>
      <w:tr>
        <w:trPr/>
        <w:tc>
          <w:tcPr>
            <w:tcW w:w="1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ind w:hanging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Раздел 1. РАССМОТРЕНИЕ ЗАЯВЛЕНИЯ О ЗАКЛЮЧЕНИИ ДОГОВОРА О КОМПЛЕКСНОМ РАЗВИТИИ ТЕРРИТОРИИ ПО ИНИЦИАТИВЕ ПРАВООБЛАДАТЕЛЕЙ БЕЗ ПРОВЕДЕНИЯ ТОРГОВ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Прием и регистрация Департаментом заявления и документов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 рабочего дня, следующего за днем поступления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заявления и документов в Департамент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1) Должностное лицо, к функциям которого относится прием и регистрация заявления и документов,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регистрацию заявления и документов в информационной системе, используемой Департаментом;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Заявителю (представителю) СМС-уведомления о приеме заявления - в случае, если заявление поступило посредством почтового отправления на бумажном носителе &lt;1&gt;;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выдачу Заявителю (представителю) расписки в получении заявления либо возврат второго экземпляра (копии) заявления с отметкой о принятии заявления - в случае подачи заявления лично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Формирование дела по заявлению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 со дня регистрации заявления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2) Должностное лицо, к функциям которого относится рассмотрение заявления и документов, осуществляет формирование дела на бумажном носителе в соответствии с требованиями Инструкции по делопроизводству в Департаменте</w:t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Рассмотрение сформированного по заявлению дела и принятие решения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окончания процедуры "Формирования дела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заявлению"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3) Должностное лицо, уполномоченное на рассмотрение заявления и документов, осуществляет анализ поступивших заявления и документов в целях установления наличия или отсутствия оснований для отказа в соответствии с абзацем четвертым пункта 2.16 Административного регламента: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 наличии оснований для отказа: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подготовку проекта уведомления об отказе в заключении договора о комплексном развитии территории по инициативе правообладателей с указанием перечня не представленных документов, представление которых обязательно в соответствии с пунктом 2.9 Административного регламента (далее - проект уведомления об отказе), и передачу его для подписания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передачи проекта уведомления об отказе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4) Должностное лицо, к функциям которого относится согласование соответствующих документов, осуществляет согласование проекта уведомления об отказе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согласования проекта уведомления об отказе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5) Должностное лицо, уполномоченное на подписание соответствующих документов, осуществляет подписание уведомления об отказе в заключении договора о комплексном развитии территории по инициативе правообладателей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подписания уведомления об отказе в заключении договора о комплексном развитии территории по инициативе правообладателей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6) Должностное лицо, уполномоченное на регистрацию, выдачу документов,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регистрацию уведомления об отказе в заключении договора о комплексном развитии территории по инициативе правообладателей;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уведомления об отказе в заключении договора о комплексном развитии территории по инициативе правообладателей Заявителю, а также возврат заявления и документов, представленных Заявителем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  <w:t>30</w:t>
            </w: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</w:rPr>
              <w:t>календарных дней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окончания процедуры "Формирования дела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заявлению"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7) Должностное лицо, уполномоченное на рассмотрение заявления и документов, при отсутствии оснований для отказа в соответствии с абзацем четвертым пункта 2.16 Административного регламента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поступивших заявления и документов, в том числе соглашения, на соответствие установленным требованиям;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сбора сведений: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об объектах недвижимости и земельных участках в границах территории, подлежащей комплексному развитию по инициативе правообладателей, включая сведения о существующих правах, ограничениях, обременениях прав и их условий;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 наличии на территории, подлежащей комплексному развитию по инициативе правообладателей,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подлежащих сохранению в соответствии с законодательством Российской Федерации об объектах культурного наследия;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об имеющихся на территории, подлежащей комплексному развитию по инициативе правообладателей, сетей тепло-, электро-, газо-, водоснабжения и водоотведения;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иных сведений, необходимых для заключения договора о комплексном развитии территории по инициативе правообладателей;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уведомления в Государственное казенное учреждение Тюменской области "Фонд имущества Тюменской области", подведомственное Департаменту (далее - ГКУ ТО "ФИТО"), для подготовки акта обследования территории, подлежащей комплексному развитию по инициативе правообладателей (далее - задание);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подготовку и направление запросов по системе межведомственного электронного взаимодействия &lt;2&gt;;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приобщение полученных в результате межведомственного электронного взаимодействия документов и сведений;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подготовку проекта договора о комплексном развитии территории по инициативе правообладателей;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вынесение вопроса о заключении договора о комплексном развитии территории по инициативе правообладателей на рассмотрение комиссии, которая создается в целях выработки рекомендаций по вопросам заключения либо об отказе в заключении договора о комплексном развитии территории по инициативе правообладателей (далее - комиссия)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  <w:t>5</w:t>
            </w: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</w:rPr>
              <w:t>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поступления задания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8) ГКУ ТО "ФИТО" осуществляет обследование территории, подлежащей комплексному развитию по инициативе правообладателей, с подготовкой соответствующего акта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 календарных дней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вынесения вопроса о заключении договора о комплексном развитии территории по инициативе правообладателей на рассмотрение комиссии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9) Комиссия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заявления и документов;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подготовку рекомендуемого решения в соответствии с абзацами вторым, третьим, пятым и шестым пункта 2.16 Административного регламента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принятия рекомендуемого решения комиссией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10) Должностное лицо, уполномоченное на рассмотрение заявления и документов, осуществляет: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 отсутствии оснований для отказа, предусмотренных абзацами вторым, третьим, пятым и шестым пункта 2.16 Административного регламента: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передачу на согласование проекта договора о комплексном развитии территории по инициативе правообладателей (далее - проект договора)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 наличии оснований для отказа, предусмотренных абзацами вторым, третьим, пятым и шестым пункта 2.16 Административного регламента: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подготовку и передачу на согласование проекта уведомления об отказе в заключении договора о комплексном развитии территории по инициативе правообладателей с указанием всех мотивированных оснований для отказа (далее - проект уведомления об отказе)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strike w:val="false"/>
                <w:dstrike w:val="false"/>
                <w:color w:val="000000"/>
              </w:rPr>
              <w:t>2</w:t>
            </w:r>
            <w:r>
              <w:rPr>
                <w:color w:val="000000"/>
              </w:rPr>
              <w:t xml:space="preserve">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поступления проекта договора о комплексном развитии территории по инициативе правообладателей либо проекта уведомления об отказе на согласование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11) Должностное лицо, к функциям которого относится контроль за осуществлением инвестиционной деятельности, осуществляет согласование проекта договора о комплексном развитии территории по инициативе правообладателей либо проекта уведомления об отказе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передачи проекта договора о комплексном развитии территории по инициативе правообладателей либо проекта уведомления об отказе на подписание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12) Должностное лицо, уполномоченное на подписание соответствующих документов, осуществляет подписание проекта договора о комплексном развитии территории по инициативе правообладателей либо проекта уведомления об отказе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календарный день со дня подписания договора о комплексном развитии территории по инициативе правообладателей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13) Должностное лицо, уполномоченное на рассмотрение заявления и документов, направляет договор о комплексном развитии территории по инициативе правообладателей для подписания в орган, уполномоченный на утверждение документации по планировке территории, подлежащей комплексному развитию, правил землепользования и застройки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календарных дня со дня получения от органа, уполномоченного на утверждение документации по планировке территории, подлежащей комплексному развитию, подписанного договора о комплексном развитии территории по инициативе правообладателей либо со дня подписания уведомления об отказе в заключении договора о комплексном развитии территории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14) Должностное лицо, уполномоченное на регистрацию, выдачу документов, осуществляет: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регистрацию договора о комплексном развитии территории по инициативе правообладателей либо уведомления об отказе в заключении договора о комплексном развитии территории по инициативе правообладателей;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(выдачу) договора о комплексном развитии территории по инициативе правообладателей либо уведомления об отказе в заключении договора о комплексном развитии территории по инициативе правообладателей Заявителю</w:t>
            </w:r>
          </w:p>
        </w:tc>
      </w:tr>
      <w:tr>
        <w:trPr/>
        <w:tc>
          <w:tcPr>
            <w:tcW w:w="1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ind w:hanging="0" w:left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Раздел 2. ПРЕКРАЩЕНИЕ ПРЕДОСТАВЛЕНИЯ ГОСУДАРСТВЕННОЙ УСЛУГИ ПО ИНИЦИАТИВЕ ЗАЯВИТЕЛЯ</w:t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Прекращение предоставления государственной услуги по инициативе заявителя &lt;3&gt;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поступления заявления в Департамент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1) Должностное лицо, к функциям которого относится прием и регистрация заявления и документов, осуществляет прием и регистрацию заявления в информационной системе, используемой Департаментом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2 рабочих дней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регистрации заявления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2) Должностное лицо, к функциям которого относится рассмотрение заявления, осуществляет подготовку проекта уведомления о прекращении предоставления государственной услуги (далее - проект уведомления) и направление его для подписания уполномоченному должностному лицу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поступления проекта уведомления для подписания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3) Должностное лицо, уполномоченное на подписание соответствующих документов, осуществляет подписание проекта уведомления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рабочий день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подписания уведомления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4) Должностное лицо, к функциям которого относится регистрация, выдача документов, осуществляет регистрацию уведомления о прекращении предоставления государственной услуги и направление (выдачу) его Заявителю способом, которым направлено заявление о прекращении предоставления государственной услуги &lt;4&gt;</w:t>
            </w:r>
          </w:p>
        </w:tc>
      </w:tr>
      <w:tr>
        <w:trPr/>
        <w:tc>
          <w:tcPr>
            <w:tcW w:w="1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firstLine="283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--------------------------------</w:t>
            </w:r>
          </w:p>
          <w:p>
            <w:pPr>
              <w:pStyle w:val="ConsPlusNormal"/>
              <w:tabs>
                <w:tab w:val="clear" w:pos="720"/>
              </w:tabs>
              <w:ind w:firstLine="283" w:left="0"/>
              <w:jc w:val="both"/>
              <w:rPr>
                <w:color w:val="000000"/>
              </w:rPr>
            </w:pPr>
            <w:bookmarkStart w:id="18" w:name="Par494"/>
            <w:bookmarkEnd w:id="18"/>
            <w:r>
              <w:rPr>
                <w:color w:val="000000"/>
              </w:rPr>
              <w:t>&lt;1&gt; В случае если в заявлении не указан номер телефона, уведомление о приеме заявления направляется в электронной форме на адрес электронной почты, указанный в заявлении. В случае если в заявлении не указан адрес электронной почты, уведомление о приеме заявления направляется на бумажном носителе на почтовый адрес, указанный в заявлении, посредством почтовой связи.</w:t>
            </w:r>
          </w:p>
          <w:p>
            <w:pPr>
              <w:pStyle w:val="ConsPlusNormal"/>
              <w:tabs>
                <w:tab w:val="clear" w:pos="720"/>
              </w:tabs>
              <w:ind w:firstLine="283" w:left="0"/>
              <w:jc w:val="both"/>
              <w:rPr>
                <w:color w:val="000000"/>
              </w:rPr>
            </w:pPr>
            <w:bookmarkStart w:id="19" w:name="Par495"/>
            <w:bookmarkEnd w:id="19"/>
            <w:r>
              <w:rPr>
                <w:color w:val="000000"/>
              </w:rPr>
              <w:t>&lt;2&gt; Данное административное действие осуществляется в случае, если в сформированном по заявлению деле отсутствуют документы, предусмотренные пунктом 2.12 Административного регламента, выданные ранее чем за 1 календарный день до даты подачи заявления.</w:t>
            </w:r>
          </w:p>
          <w:p>
            <w:pPr>
              <w:pStyle w:val="ConsPlusNormal"/>
              <w:tabs>
                <w:tab w:val="clear" w:pos="720"/>
              </w:tabs>
              <w:ind w:firstLine="283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случае, если система межведомственного электронного взаимодействия Тюменской области не работает в части или полностью, межведомственные запросы в органы (организации), участвующие в предоставлении государственной услуги, направляются на бумажных носителях.</w:t>
            </w:r>
          </w:p>
          <w:p>
            <w:pPr>
              <w:pStyle w:val="ConsPlusNormal"/>
              <w:tabs>
                <w:tab w:val="clear" w:pos="720"/>
              </w:tabs>
              <w:ind w:firstLine="283" w:left="0"/>
              <w:jc w:val="both"/>
              <w:rPr>
                <w:color w:val="000000"/>
              </w:rPr>
            </w:pPr>
            <w:bookmarkStart w:id="20" w:name="Par497"/>
            <w:bookmarkEnd w:id="20"/>
            <w:r>
              <w:rPr>
                <w:color w:val="000000"/>
              </w:rPr>
              <w:t>&lt;3&gt; Заявление о прекращении предоставления государственной услуги может быть подано в Департамент лично, посредством почтовой связи на бумажном носителе на любой стадии выполнения административных процедур до дня регистрации Департаментом договора о комплексном развитии территории по инициативе правообладателей либо уведомления об отказе в заключении договора о комплексном развитии территории по инициативе правообладателей. Заявление, поступившее после регистрации Департаментом договора о комплексном развитии территории по инициативе правообладателей либо уведомления об отказе в заключении договора о комплексном развитии территории по инициативе правообладателей, рассмотрению не подлежит.</w:t>
            </w:r>
          </w:p>
          <w:p>
            <w:pPr>
              <w:pStyle w:val="ConsPlusNormal"/>
              <w:tabs>
                <w:tab w:val="clear" w:pos="720"/>
              </w:tabs>
              <w:ind w:firstLine="283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Заявление о прекращении предоставления государственной услуги подается в свободной форме с обязательным указанием входящего номера заявления.</w:t>
            </w:r>
          </w:p>
          <w:p>
            <w:pPr>
              <w:pStyle w:val="ConsPlusNormal"/>
              <w:tabs>
                <w:tab w:val="clear" w:pos="720"/>
              </w:tabs>
              <w:ind w:firstLine="283" w:left="0"/>
              <w:jc w:val="both"/>
              <w:rPr>
                <w:color w:val="000000"/>
              </w:rPr>
            </w:pPr>
            <w:bookmarkStart w:id="21" w:name="Par499"/>
            <w:bookmarkEnd w:id="21"/>
            <w:r>
              <w:rPr>
                <w:color w:val="000000"/>
              </w:rPr>
              <w:t>&lt;4&gt; Подлинные экземпляры документов (за исключением заявления), представленные Заявителем, подлежат направлению (передаче) Заявителю совместно с уведомлением.</w:t>
            </w:r>
          </w:p>
        </w:tc>
      </w:tr>
    </w:tbl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pBdr>
          <w:top w:val="single" w:sz="6" w:space="0" w:color="000000"/>
        </w:pBdr>
        <w:spacing w:before="100" w:after="100"/>
        <w:ind w:hanging="0" w:left="0"/>
        <w:jc w:val="both"/>
        <w:rPr>
          <w:color w:val="000000"/>
          <w:sz w:val="2"/>
        </w:rPr>
      </w:pPr>
      <w:r>
        <w:rPr>
          <w:color w:val="000000"/>
          <w:sz w:val="2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</TotalTime>
  <Application>LibreOffice/7.6.4.1$Windows_X86_64 LibreOffice_project/e19e193f88cd6c0525a17fb7a176ed8e6a3e2aa1</Application>
  <AppVersion>15.0000</AppVersion>
  <Pages>23</Pages>
  <Words>5988</Words>
  <Characters>46861</Characters>
  <CharactersWithSpaces>52438</CharactersWithSpaces>
  <Paragraphs>416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2024-05-27T15:17:00Z</dcterms:created>
  <dc:creator/>
  <dc:description/>
  <dc:language>ru-RU</dc:language>
  <cp:lastModifiedBy/>
  <dcterms:modified xsi:type="dcterms:W3CDTF">2024-10-28T15:59:40Z</dcterms:modified>
  <cp:revision>10</cp:revision>
  <dc:subject/>
  <dc:title>Распоряжение Департамента имущественных отношений Тюменской области от 21.01.2022 N 73/08-2(ред. от 13.02.2024)"Об утверждении Административного регламента предоставления Департаментом имущественных отношений Тюменской области государственной услуги "Рассмотрение заявления о заключении договора о комплексном развитии территории по инициативе правообладателей"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