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68" w:rsidRPr="00020A73" w:rsidRDefault="00F51C68" w:rsidP="00020A73">
      <w:pPr>
        <w:pStyle w:val="ConsPlusNormal"/>
        <w:contextualSpacing/>
        <w:jc w:val="both"/>
        <w:outlineLvl w:val="0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outlineLvl w:val="0"/>
        <w:rPr>
          <w:szCs w:val="20"/>
        </w:rPr>
      </w:pPr>
      <w:r w:rsidRPr="00020A73">
        <w:rPr>
          <w:szCs w:val="20"/>
        </w:rPr>
        <w:t>ПРАВИТЕЛЬСТВО ТЮМЕНСКОЙ ОБЛАСТИ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r w:rsidRPr="00020A73">
        <w:rPr>
          <w:szCs w:val="20"/>
        </w:rPr>
        <w:t>ПОСТАНОВЛЕНИЕ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r w:rsidRPr="00020A73">
        <w:rPr>
          <w:szCs w:val="20"/>
        </w:rPr>
        <w:t>от 27 декабря 2013 г. N 600-п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r w:rsidRPr="00020A73">
        <w:rPr>
          <w:szCs w:val="20"/>
        </w:rPr>
        <w:t>ОБ УТВЕРЖДЕНИИ ПОРЯДКА ОРГАНИЗАЦИИ ЯРМАРОК И ПРОДАЖИ ТОВАРОВ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r w:rsidRPr="00020A73">
        <w:rPr>
          <w:szCs w:val="20"/>
        </w:rPr>
        <w:t>(ВЫПОЛНЕНИЯ РАБОТ, ОКАЗАНИЯ УСЛУГ) НА НИХ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r w:rsidRPr="00020A73">
        <w:rPr>
          <w:szCs w:val="20"/>
        </w:rPr>
        <w:t>В ТЮМЕНСКОЙ ОБЛАСТИ</w:t>
      </w:r>
    </w:p>
    <w:p w:rsidR="00F51C68" w:rsidRPr="00020A73" w:rsidRDefault="00F51C68" w:rsidP="00020A73">
      <w:pPr>
        <w:pStyle w:val="ConsPlusNormal"/>
        <w:spacing w:after="1"/>
        <w:contextualSpacing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 соответствии со статьей 11 Федерального закона от 28.12.2009 N 381-ФЗ "Об основах государственного регулирования торговой деятельности в Российской Федерации", статьей 10.1 Закона Тюменской области от 05.07.2001 N 354 "О регулировании торговой деятельности в Тюменской области":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1. Утвердить Порядок организации ярмарок и продажи товаров (выполнения работ, оказания услуг) на них в Тюменской области согласно приложению к настоящему постановлению.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 Признать утратившими силу: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постановление Правительства Тюменской области от 26.05.2010 N 150-п "Об утверждении порядка организации ярмарок и требований к продаже товаров (выполнения работ, оказания услуг) на них в Тюменской области";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постановление Правительства Тюменской области от 15.02.2011 N 32-п "О внесении изменений и дополнений в постановление от 26.05.2010 N 150-п";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постановление Правительства Тюменской области от 09.06.2012 N 225-п "О внесении изменений в постановление от 26.05.2010 N 150-п".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 Установить, что настоящее постановление вступает в силу с 1 января 2014 года.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4. </w:t>
      </w:r>
      <w:proofErr w:type="gramStart"/>
      <w:r w:rsidRPr="00020A73">
        <w:rPr>
          <w:szCs w:val="20"/>
        </w:rPr>
        <w:t>Контроль за</w:t>
      </w:r>
      <w:proofErr w:type="gramEnd"/>
      <w:r w:rsidRPr="00020A73">
        <w:rPr>
          <w:szCs w:val="20"/>
        </w:rP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Губернатор области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В.В.ЯКУШЕВ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right"/>
        <w:outlineLvl w:val="0"/>
        <w:rPr>
          <w:szCs w:val="20"/>
        </w:rPr>
      </w:pPr>
      <w:r w:rsidRPr="00020A73">
        <w:rPr>
          <w:szCs w:val="20"/>
        </w:rPr>
        <w:t>Приложение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к постановлению Правительства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Тюменской области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от 27 декабря 2013 г. N 600-п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bookmarkStart w:id="0" w:name="P36"/>
      <w:bookmarkEnd w:id="0"/>
      <w:r w:rsidRPr="00020A73">
        <w:rPr>
          <w:szCs w:val="20"/>
        </w:rPr>
        <w:t>ПОРЯДОК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proofErr w:type="gramStart"/>
      <w:r w:rsidRPr="00020A73">
        <w:rPr>
          <w:szCs w:val="20"/>
        </w:rPr>
        <w:t>ОРГАНИЗАЦИИ ЯРМАРОК И ПРОДАЖИ ТОВАРОВ (ВЫПОЛНЕНИЯ РАБОТ,</w:t>
      </w:r>
      <w:proofErr w:type="gramEnd"/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proofErr w:type="gramStart"/>
      <w:r w:rsidRPr="00020A73">
        <w:rPr>
          <w:szCs w:val="20"/>
        </w:rPr>
        <w:t>ОКАЗАНИЯ УСЛУГ) НА НИХ В ТЮМЕНСКОЙ ОБЛАСТИ</w:t>
      </w:r>
      <w:proofErr w:type="gramEnd"/>
    </w:p>
    <w:p w:rsidR="00F51C68" w:rsidRPr="00020A73" w:rsidRDefault="00F51C68" w:rsidP="00020A73">
      <w:pPr>
        <w:pStyle w:val="ConsPlusNormal"/>
        <w:spacing w:after="1"/>
        <w:contextualSpacing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outlineLvl w:val="1"/>
        <w:rPr>
          <w:szCs w:val="20"/>
        </w:rPr>
      </w:pPr>
      <w:r w:rsidRPr="00020A73">
        <w:rPr>
          <w:szCs w:val="20"/>
        </w:rPr>
        <w:t>1. Общие положения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1.1. </w:t>
      </w:r>
      <w:proofErr w:type="gramStart"/>
      <w:r w:rsidRPr="00020A73">
        <w:rPr>
          <w:szCs w:val="20"/>
        </w:rPr>
        <w:t>Настоящий Порядок разработан в соответствии со статьей 11 Федерального закона от 28.12.2009 N 381-ФЗ "Об основах государственного регулирования торговой деятельности в Российской Федерации", статьей 10.1 Закона Тюменской области от 05.07.2001 N 354 "О регулировании торговой деятельности в Тюменской области" и устанавливает порядок организации ярмарок и продажи товаров (выполнения работ, оказания услуг) на них в Тюменской области, а также требования к</w:t>
      </w:r>
      <w:proofErr w:type="gramEnd"/>
      <w:r w:rsidRPr="00020A73">
        <w:rPr>
          <w:szCs w:val="20"/>
        </w:rPr>
        <w:t xml:space="preserve"> организации продажи товаров, выполнения работ, оказания услуг на ярмарках.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1.2. Для целей настоящего Порядка используются следующие основные понятия: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ярмарка - самостоятельное рыночное мероприятие, доступное для всех товаропроизводителей, продавцов и покупателей, организуемое в установленном месте и на установленный срок с целью заключения договоров купли-продажи и формирования региональных, межрегиональных и межгосударственных хозяйственных связей;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 xml:space="preserve">торговое место - место на ярмарке, отведенное организатором ярмарки участнику ярмарки для осуществления деятельности по продаже товаров (выполнению работ, оказанию услуг) </w:t>
      </w:r>
      <w:r w:rsidRPr="00020A73">
        <w:rPr>
          <w:szCs w:val="20"/>
        </w:rPr>
        <w:lastRenderedPageBreak/>
        <w:t>(земельный участок; часть земельного участка; часть здания, строения, сооружения, конструкции; прилавок; павильон на сборно-разборном каркасе, имеющий прилавок; специализированный автомобиль (автомагазин, автолавка, автоприцеп); цистерна по реализации продовольственных товаров, изотермическая емкость);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 xml:space="preserve">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являющийся налогоплательщиком налога на профессиональный доход (далее - </w:t>
      </w:r>
      <w:proofErr w:type="spellStart"/>
      <w:r w:rsidRPr="00020A73">
        <w:rPr>
          <w:szCs w:val="20"/>
        </w:rPr>
        <w:t>самозанятый</w:t>
      </w:r>
      <w:proofErr w:type="spellEnd"/>
      <w:r w:rsidRPr="00020A73">
        <w:rPr>
          <w:szCs w:val="20"/>
        </w:rPr>
        <w:t xml:space="preserve"> гражданин), гражданин, ведущий личное подсобное хозяйство или занимающийся садоводством, огородничеством, животноводством), которому предоставлено торговое место на ярмарке;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продавец - физическое лицо, непосредственно осуществляющее на торговом месте деятельность по продаже товаров (выполнению работ, оказанию услуг) на ярмарке.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1.3. Целями организации и проведения ярмарок являются: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создание условий для обеспечения населения Тюменской области товарами народного потребления, сельскохозяйственной продукцией, услугами торговли и общественного питания;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стимулирование деловой активности хозяйствующих субъектов, осуществляющих в Тюменской области торговую деятельность и деятельность в области общественного питания;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обеспечение взаимодействия хозяйствующих субъектов, осуществляющих торговую деятельность, и хозяйствующих субъектов, осуществляющих производство, поставки товаров;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 xml:space="preserve">г) создание условий для местных товаропроизводителей, граждан - глав крестьянских (фермерских) хозяйств, членов таких хозяйств, </w:t>
      </w:r>
      <w:proofErr w:type="spellStart"/>
      <w:r w:rsidRPr="00020A73">
        <w:rPr>
          <w:szCs w:val="20"/>
        </w:rPr>
        <w:t>самозанятых</w:t>
      </w:r>
      <w:proofErr w:type="spellEnd"/>
      <w:r w:rsidRPr="00020A73">
        <w:rPr>
          <w:szCs w:val="20"/>
        </w:rPr>
        <w:t xml:space="preserve"> граждан, граждан, ведущих личные подсобные хозяйства или занимающихся садоводством, огородничеством, животноводством, по реализации собственной продукции;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д) формирование эффективной конкурентной среды.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1.4. Ярмарки подразделяются на следующие типы: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универсальная ярмарка - ярмарка, на которой менее 80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перечнем товаров, утвержденных приказом Министерства экономического развития Российской Федерации от 26.02.2007 N 56 "Об утверждении номенклатуры товаров, определяющей классы товаров (в целях определения типов розничных рынков)";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специализированная ярмарка - ярмарка, на которой 80 и более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перечнем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Ярмарки подразделяются на следующие виды: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сезонные - ярмарки, организуемые в целях реализации сезонного вида товаров, выполнения сезонных работ, оказания сезонных услуг и проведение которых приурочено к определенным периодам, временам года, сезонам;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праздничные - ярмарки, проведение которых приурочено к праздничным дням;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выходного дня - ярмарки, проведение которых приурочено к выходным дням;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тематические - ярмарки, проводимые по определенной теме.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" w:name="P73"/>
      <w:bookmarkEnd w:id="1"/>
      <w:r w:rsidRPr="00020A73">
        <w:rPr>
          <w:szCs w:val="20"/>
        </w:rPr>
        <w:t>1.5. Срок проведения одной ярмарки не может быть более 11 месяцев подряд.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1.6. Расходы по организации и проведению ярмарок производятся за счет: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финансовых средств, привлеченных организатором ярмарки, - в случае если ярмарка проводится по инициативе юридических лиц и (или) индивидуальных предпринимателей;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средств, предусмотренных на эти цели в бюджете муниципального образования, - в случае если ярмарка проводится по инициативе органа местного самоуправления муниципального образования Тюменской области (далее - орган местного самоуправления);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в) </w:t>
      </w:r>
      <w:proofErr w:type="gramStart"/>
      <w:r w:rsidRPr="00020A73">
        <w:rPr>
          <w:szCs w:val="20"/>
        </w:rPr>
        <w:t>других</w:t>
      </w:r>
      <w:proofErr w:type="gramEnd"/>
      <w:r w:rsidRPr="00020A73">
        <w:rPr>
          <w:szCs w:val="20"/>
        </w:rPr>
        <w:t xml:space="preserve"> не противоречащих законодательству источников.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2" w:name="P78"/>
      <w:bookmarkEnd w:id="2"/>
      <w:r w:rsidRPr="00020A73">
        <w:rPr>
          <w:szCs w:val="20"/>
        </w:rPr>
        <w:t>1.7. Ярмарки организуются и проводятся на землях населенных пунктов и землях сельскохозяйственного назначения.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3" w:name="P79"/>
      <w:bookmarkEnd w:id="3"/>
      <w:r w:rsidRPr="00020A73">
        <w:rPr>
          <w:szCs w:val="20"/>
        </w:rPr>
        <w:t>1.8. Организация и проведение ярмарок не допускается: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в границах полос отвода автомобильных дорог, за исключением случаев, предусмотренных пунктом 1.9 настоящего Порядка;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на придомовой территории;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в санитарной зоне;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в образовательных, медицинских организациях и на территориях, отведенных под данные объекты;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д) на автовокзалах, железнодорожных и речных вокзалах, портах и территориях, отведенных под данные объекты;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lastRenderedPageBreak/>
        <w:t>е) на иных территориях и объектах, на которых в соответствии с законодательством Российской Федерации не допускается осуществление торговой деятельности.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4" w:name="P87"/>
      <w:bookmarkEnd w:id="4"/>
      <w:r w:rsidRPr="00020A73">
        <w:rPr>
          <w:szCs w:val="20"/>
        </w:rPr>
        <w:t>1.9. Допускается организация и проведение ярмарок в границах полос отвода областных автомобильных дорог, автомобильных дорог местного значения в границах населенных пунктов в местах проведения культурно-массовых мероприятий, на период которых по автомобильным дорогам временно ограничено или прекращено движение транспортных средств.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outlineLvl w:val="1"/>
        <w:rPr>
          <w:szCs w:val="20"/>
        </w:rPr>
      </w:pPr>
      <w:r w:rsidRPr="00020A73">
        <w:rPr>
          <w:szCs w:val="20"/>
        </w:rPr>
        <w:t>2. Порядок принятия решения о проведении ярмарки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2.1. Организаторами ярмарок выступают органы местного самоуправления, юридические лица, индивидуальные предприниматели, зарегистрированные в установленном законодательством Российской Федерации порядке.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2.2. В целях учета ярмарок, информирования потенциальных участников ярмарок о проведении ярмарок органы местного самоуправления: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а) формируют и в срок не позднее 25 декабря года, предшествующего году организации и проведения ярмарок, утверждают план организации и проведения ярмарок на территории соответствующего муниципального образования на очередной календарный год (далее - План организации и проведения ярмарок) по форме, определенной в приложении N 1 к настоящему Порядку, и размещают его на официальном сайте органа местного самоуправления в информационно-телекоммуникационной сети "Интернет</w:t>
      </w:r>
      <w:proofErr w:type="gramEnd"/>
      <w:r w:rsidRPr="00020A73">
        <w:rPr>
          <w:szCs w:val="20"/>
        </w:rPr>
        <w:t>". В План организации и проведения ярмарок включаются ярмарки, организуемые органом местного самоуправления, ярмарки, организуемые юридическими лицами, индивидуальными предпринимателями, в случае если на дату его формирования принято решение о проведении ярмарки, организатором которой выступает юридическое лицо или индивидуальный предприниматель;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ежегодно, в срок не позднее 15 января, направляют План организации и проведения ярмарок в Департамент потребительского рынка и туризма Тюменской области (далее - Департамент) в электронном виде;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в случае внесения изменений в План организации и проведения ярмарок направляют такие изменения в Департамент в электронном виде в течение пяти рабочих дней со дня внесения изменений. Изменения в План организации и проведения ярмарок вносятся в течение пяти рабочих дней со дня принятия решения о проведении ярмарки, не включенной в План организации и проведения ярмарок;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два раза в год, не позднее 15 июля (за первое полугодие), не позднее 15 февраля за (истекший год), направляют в Департамент информацию о проведенных ярмарках на территории муниципального образования по форме, определенной в приложении N 2 к настоящему Порядку.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2.3. Департамент: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ежегодно, не позднее 1 февраля, обеспечивает формирование сводного Плана организации и проведения ярмарок в Тюменской области и размещение его на Официальном портале органов государственной власти Тюменской области;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в течение пяти рабочих дней со дня представления органом местного самоуправления изменений в План организации и проведения ярмарок обеспечивает внесение изменений в сводный План организации и проведения ярмарок в Тюменской области.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2.4. Решение о проведении ярмарки принимается в форме правового акта органа местного самоуправления.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2.5. В решении о проведении ярмарки указываются: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5" w:name="P108"/>
      <w:bookmarkEnd w:id="5"/>
      <w:r w:rsidRPr="00020A73">
        <w:rPr>
          <w:szCs w:val="20"/>
        </w:rPr>
        <w:t>а) наименование и юридический адрес организатора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тип, вид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6" w:name="P111"/>
      <w:bookmarkEnd w:id="6"/>
      <w:r w:rsidRPr="00020A73">
        <w:rPr>
          <w:szCs w:val="20"/>
        </w:rPr>
        <w:t>в) место и срок проведения ярмарки. Срок проведения ярмарки может указываться в днях, неделях, месяцах, а также определенными периодами, например ярмарки выходного дня.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2.6. До принятия решения о проведении ярмарки организатор ярмарки: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разрабатывает и утверждает план мероприятий по организации ярмарки и продажи товаров (выполнения работ, оказания услуг) на ней (далее - План мероприятий);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определяет режим работы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определяет порядок организации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определяет порядок предоставления торговых мест на ярмарке.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 случае если организатором ярмарки выступает орган местного самоуправления, План мероприятий, режим работы ярмарки, порядок организации ярмарки, порядок предоставления торговых мест на ярмарке устанавливаются в решении о проведении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7" w:name="P119"/>
      <w:bookmarkEnd w:id="7"/>
      <w:r w:rsidRPr="00020A73">
        <w:rPr>
          <w:szCs w:val="20"/>
        </w:rPr>
        <w:t>2.7. План мероприятий должен содержать даты и время осуществления: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сбора заявок на участие в ярмарке;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разработки схемы размещения торговых мест;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ограничения движения транспорта и регулирования движения транспортных средств в месте проведения ярмарки (при необходимости);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lastRenderedPageBreak/>
        <w:t>регистрации и размещения участников ярмарки в соответствии со схемой размещения торговых мест на ярмарке;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открытия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организации уборки территории проведения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других мероприятий, проводимых в целях организации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2.8. Порядок организации ярмарки должен содержать: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наименование организатора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тип, вид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место проведения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срок проведения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схему размещения торговых мест на ярмарке;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размер платы за предоставление оборудованных торговых мест для продажи товаров (выполнения работ, оказания услуг) на ярмарке, а также за оказание услуг, связанных с обеспечением торговли (уборкой территории, проведением ветеринарно-санитарной экспертизы и других услуг), с учетом необходимости компенсации затрат на организацию ярмарки и продажи товаров (выполнения работ, оказания услуг) на ней, в случае предоставления торговых мест на платной основе;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безопасности, в области охраны окружающей среды, других требований, предусмотренных законодательством Российской Федерации, а также информацию о мероприятиях, направленных на обеспечение соответствия места проведения ярмарки вышеуказанным требованиям, о лицах, ответственных за соблюдение указанных мероприятий;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информацию о требованиях к внешнему виду (оформлению, техническим характеристикам, типовым </w:t>
      </w:r>
      <w:proofErr w:type="gramStart"/>
      <w:r w:rsidRPr="00020A73">
        <w:rPr>
          <w:szCs w:val="20"/>
        </w:rPr>
        <w:t>архитектурным решениям</w:t>
      </w:r>
      <w:proofErr w:type="gramEnd"/>
      <w:r w:rsidRPr="00020A73">
        <w:rPr>
          <w:szCs w:val="20"/>
        </w:rPr>
        <w:t>) торговых мест на ярмарке (при необходимости), организуемой органом местного самоуправления.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2.9. Схема размещения торговых мест на ярмарке оформляется в виде текстового документа с графическими картами-схемами, определяющими площадку ярмарки и ее инфраструктуру, нумерацию торговых мест.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Торговые места на ярмарке должны соответствовать требованиям к внешнему виду (оформлению, техническим характеристикам, типовым </w:t>
      </w:r>
      <w:proofErr w:type="gramStart"/>
      <w:r w:rsidRPr="00020A73">
        <w:rPr>
          <w:szCs w:val="20"/>
        </w:rPr>
        <w:t>архитектурным решениям</w:t>
      </w:r>
      <w:proofErr w:type="gramEnd"/>
      <w:r w:rsidRPr="00020A73">
        <w:rPr>
          <w:szCs w:val="20"/>
        </w:rPr>
        <w:t>) торговых мест на ярмарке, установленным правовым актом органа местного самоуправления (при наличии таких требований). Указанное требование распространяется на ярмарки, организаторами которых выступают органы местного самоуправления.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2.10. Решение о проведении ярмарки, организатором которой выступает орган местного самоуправления, принимается на основании Плана организации и проведения ярмарок.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8" w:name="P145"/>
      <w:bookmarkEnd w:id="8"/>
      <w:r w:rsidRPr="00020A73">
        <w:rPr>
          <w:szCs w:val="20"/>
        </w:rPr>
        <w:t>2.11. Решение о проведении ярмарки, организатором которой выступает юридическое лицо или индивидуальный предприниматель, принимается на основании письменного заявления юридического лица или индивидуального предпринимателя о проведении ярмарки (далее - заявление).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Заявление подается в уполномоченный орган местного самоуправления (далее - уполномоченный орган) не </w:t>
      </w:r>
      <w:proofErr w:type="gramStart"/>
      <w:r w:rsidRPr="00020A73">
        <w:rPr>
          <w:szCs w:val="20"/>
        </w:rPr>
        <w:t>позднее</w:t>
      </w:r>
      <w:proofErr w:type="gramEnd"/>
      <w:r w:rsidRPr="00020A73">
        <w:rPr>
          <w:szCs w:val="20"/>
        </w:rPr>
        <w:t xml:space="preserve"> чем за 21 календарный день до планируемого начала проведения ярмарки. Уполномоченный орган обеспечивает регистрацию заявления в день его поступления. Заявление должно содержать сведения, указанные в подпунктах "а" - "в" пункта 2.5 настоящего Порядка.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К заявлению прилагаются: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9" w:name="P149"/>
      <w:bookmarkEnd w:id="9"/>
      <w:r w:rsidRPr="00020A73">
        <w:rPr>
          <w:szCs w:val="20"/>
        </w:rPr>
        <w:t>а) 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0" w:name="P150"/>
      <w:bookmarkEnd w:id="10"/>
      <w:proofErr w:type="gramStart"/>
      <w:r w:rsidRPr="00020A73">
        <w:rPr>
          <w:szCs w:val="20"/>
        </w:rPr>
        <w:t>б) 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020A73">
        <w:rPr>
          <w:szCs w:val="20"/>
        </w:rPr>
        <w:t xml:space="preserve"> </w:t>
      </w:r>
      <w:proofErr w:type="gramStart"/>
      <w:r w:rsidRPr="00020A73">
        <w:rPr>
          <w:szCs w:val="20"/>
        </w:rPr>
        <w:t>пределах</w:t>
      </w:r>
      <w:proofErr w:type="gramEnd"/>
      <w:r w:rsidRPr="00020A73">
        <w:rPr>
          <w:szCs w:val="20"/>
        </w:rPr>
        <w:t xml:space="preserve"> срока указанных договоров, - в случае если организатор ярмарки не является собственником указанного объекта (объектов);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1" w:name="P151"/>
      <w:bookmarkEnd w:id="11"/>
      <w:r w:rsidRPr="00020A73">
        <w:rPr>
          <w:szCs w:val="20"/>
        </w:rPr>
        <w:t>в) утвержденный организатором План мероприятий;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2" w:name="P152"/>
      <w:bookmarkEnd w:id="12"/>
      <w:r w:rsidRPr="00020A73">
        <w:rPr>
          <w:szCs w:val="20"/>
        </w:rPr>
        <w:t>г) 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3" w:name="P153"/>
      <w:bookmarkEnd w:id="13"/>
      <w:proofErr w:type="gramStart"/>
      <w:r w:rsidRPr="00020A73">
        <w:rPr>
          <w:szCs w:val="20"/>
        </w:rPr>
        <w:lastRenderedPageBreak/>
        <w:t>д) разрешение на использование земли или земельного участка, находящихся в государственной или муниципальной собственности, полученное в соответствии с постановлением Правительства Тюменской области от 03.06.2015 N 238-п 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сервитута", в случае размещения палатки или</w:t>
      </w:r>
      <w:proofErr w:type="gramEnd"/>
      <w:r w:rsidRPr="00020A73">
        <w:rPr>
          <w:szCs w:val="20"/>
        </w:rPr>
        <w:t xml:space="preserve"> лотка в целях организации сезонной ярмарки, на которых осуществляется реализация продуктов питания и сельскохозяйственной продукции.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4" w:name="P155"/>
      <w:bookmarkEnd w:id="14"/>
      <w:r w:rsidRPr="00020A73">
        <w:rPr>
          <w:szCs w:val="20"/>
        </w:rPr>
        <w:t>2.12. Документ, указанный в подпункте "в" пункта 2.11 настоящего Порядка, представляется заявителем в обязательном порядке.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5" w:name="P156"/>
      <w:bookmarkEnd w:id="15"/>
      <w:r w:rsidRPr="00020A73">
        <w:rPr>
          <w:szCs w:val="20"/>
        </w:rPr>
        <w:t>Документы, указанные в подпунктах "а", "г", "д" пункта 2.11 настоящего Порядка, представляются заявителем по собственной инициативе.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Документ, предусмотренный подпунктом "б" пункта 2.11 настоящего Порядка,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2.13. Уполномоченный орган проводит проверку полноты и достоверности сведений, содержащихся в представленных заявителем заявлении и документах.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 случае непредставления заявителем документов, которые в соответствии с пунктом 2.12 настоящего Порядка могут предоставляться заявителем по собственной инициативе, уполномоченный орган запрашивает в соответствующих органах государственной власти, органах местного самоуправления в рамках межведомственного взаимодействия сведения: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 государственной регистрации заявителя в качестве юридического лица или индивидуального предпринимателя;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 предоставлении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2.14. Прием документов, указанных в пункте 2.11 настоящего Порядка, осуществляется уполномоченным органом в соответствии с Федеральным законом от 27.07.2010 N 210-ФЗ "Об организации предоставления государственных и муниципальных услуг".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2.15. Уполномоченный орган рассматривает заявление и документы, принимает решение о проведении ярмарки или об отказе в ее проведении, доводит решение до сведения заявителя в течение 15 календарных дней со дня поступления заявления и документов. При принятии решения об отказе в нем указывается аргументированная мотивировка с изложением обстоятельств, послуживших причиной для принятия решения об отказе, и предложением по устранению замечаний, позволяющему принять положительное решение.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6" w:name="P169"/>
      <w:bookmarkEnd w:id="16"/>
      <w:r w:rsidRPr="00020A73">
        <w:rPr>
          <w:szCs w:val="20"/>
        </w:rPr>
        <w:t>2.16. Уполномоченный орган отказывает в проведении ярмарки заявителю при наличии одного из следующих оснований: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организатором не соблюдены установленный порядок и сроки подачи заявления о проведении ярмарки и документов;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представление неполного пакета документов, установленных пунктом 2.11 настоящего Порядка, за исключением документов, которые в соответствии с пунктом 2.12 настоящего Порядка могут предоставляться заявителем по собственной инициативе;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несоответствие заявления о проведении ярмарки и документов, установленных пунктом 2.11 настоящего Порядка, требованиям, установленным пунктами 2.7, 2.11 настоящего Порядка;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срок проведения ярмарки, указанный в заявлении о проведении ярмарки, превышает срок, установленный пунктом 1.5 настоящего Порядка;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е) место проведения ярмарки, указанное в заявлении, не соответствует пункту 1.7 настоящего Порядка, либо находится в границах территорий и (или) объектов, на которых в соответствии с пунктом 1.8 настоящего Порядка запрещается проведение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ж)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lastRenderedPageBreak/>
        <w:t>з)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2.17. В целях проведения ярмарок органы местного самоуправления вправе привлекать в качестве организаторов ярмарки юридических лиц, индивидуальных предпринимателей в порядке, предусмотренном действующим законодательством.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Юридическое лицо или индивидуальный предприниматель, привлеченные в качестве организатора ярмарки в рамках заключенного муниципального контракта, осуществляет свои полномочия в соответствии с настоящим Порядком на условиях, установленных муниципальным контрактом.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2.18. Организатор ярмарки опубликовывает в средствах массовой информации и размещает на своем сайте в информационно-телекоммуникационной сети "Интернет" информацию о Плане мероприятий.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2.19. Изменения в решение о проведении ярмарки вносятся уполномоченным органом на основании заявления организатора ярмарки в случае: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7" w:name="P183"/>
      <w:bookmarkEnd w:id="17"/>
      <w:r w:rsidRPr="00020A73">
        <w:rPr>
          <w:szCs w:val="20"/>
        </w:rPr>
        <w:t>а) изменения наименования юридического лица - организатора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сокращения срока проведения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18" w:name="P185"/>
      <w:bookmarkEnd w:id="18"/>
      <w:r w:rsidRPr="00020A73">
        <w:rPr>
          <w:szCs w:val="20"/>
        </w:rPr>
        <w:t>в) продления срока проведения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2.20. Продление срока проведения ярмарки допускается в пределах срока, установленного пунктом 1.5 настоящего Порядка.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В случае продления срока проведения ярмарки заявление о внесении изменений в решение о проведении ярмарки подается заявителем в уполномоченный орган не </w:t>
      </w:r>
      <w:proofErr w:type="gramStart"/>
      <w:r w:rsidRPr="00020A73">
        <w:rPr>
          <w:szCs w:val="20"/>
        </w:rPr>
        <w:t>позднее</w:t>
      </w:r>
      <w:proofErr w:type="gramEnd"/>
      <w:r w:rsidRPr="00020A73">
        <w:rPr>
          <w:szCs w:val="20"/>
        </w:rPr>
        <w:t xml:space="preserve"> чем за 30 календарных дней до окончания срока проведения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2.21. К заявлению о внесении изменений в решение о проведении ярмарки прилагаются: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в случае, установленном подпунктом "а" пункта 2.19 настоящего Порядка, - выписка из Единого государственного реестра юридических лиц, включающая сведения об изменении наименования юридического лица;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 xml:space="preserve">б) в случае, установленном подпунктом "в" пункта 2.19 настоящего Порядка, - документы, предусмотренные подпунктом "а" пункта 2.11 настоящего Порядка, а также подпунктами "б", "в" пункта 2.11 настоящего Порядка - в отношении периода, на который продлевается срок </w:t>
      </w:r>
      <w:bookmarkStart w:id="19" w:name="_GoBack"/>
      <w:r w:rsidRPr="00020A73">
        <w:rPr>
          <w:szCs w:val="20"/>
        </w:rPr>
        <w:t>проведения ярмарки.</w:t>
      </w:r>
      <w:proofErr w:type="gramEnd"/>
    </w:p>
    <w:bookmarkEnd w:id="19"/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2.22. Уполномоченный орган обеспечивает регистрацию заявления о внесении изменений в решение о проведении ярмарки в день его поступления, рассматривает заявление о внесении изменений в решение о проведении </w:t>
      </w:r>
      <w:proofErr w:type="gramStart"/>
      <w:r w:rsidRPr="00020A73">
        <w:rPr>
          <w:szCs w:val="20"/>
        </w:rPr>
        <w:t>ярмарки, приложенные к нему документы и принимает</w:t>
      </w:r>
      <w:proofErr w:type="gramEnd"/>
      <w:r w:rsidRPr="00020A73">
        <w:rPr>
          <w:szCs w:val="20"/>
        </w:rPr>
        <w:t xml:space="preserve"> по ним решение в соответствии с пунктами 2.12 - 2.16 настоящего Порядка.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outlineLvl w:val="1"/>
        <w:rPr>
          <w:szCs w:val="20"/>
        </w:rPr>
      </w:pPr>
      <w:r w:rsidRPr="00020A73">
        <w:rPr>
          <w:szCs w:val="20"/>
        </w:rPr>
        <w:t>3. Порядок предоставления торговых мест на ярмарке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ind w:firstLine="540"/>
        <w:contextualSpacing/>
        <w:jc w:val="both"/>
        <w:rPr>
          <w:szCs w:val="20"/>
        </w:rPr>
      </w:pPr>
      <w:bookmarkStart w:id="20" w:name="P195"/>
      <w:bookmarkEnd w:id="20"/>
      <w:r w:rsidRPr="00020A73">
        <w:rPr>
          <w:szCs w:val="20"/>
        </w:rPr>
        <w:t>3.1. Организатор ярмарки должен обеспечить равный доступ к участию в ярмарке и предоставление торговых мест участникам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Абзац исключен. - Постановление Правительства Тюменской области от 06.10.2022 N 722-п.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3.2. Порядок предоставления торговых мест, в том числе размер платы за предоставление торговых мест на ярмарке, организатором которой выступает юридическое лицо и (или) индивидуальный предприниматель, определяется организатором ярмарки самостоятельно, с учетом пункта 3.1 настоящего Порядка.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3.3. Торговые места на ярмарке, организуемой органом местного самоуправления, предоставляются участникам ярмарки на платной или бесплатной основе.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органом местного самоуправления с учетом необходимости компенсации затрат на организацию ярмарки и продажи товаров (выполнения работ, оказания услуг) на ней в соответствии с законодательством Российской Федерации.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3.4. Предоставление торговых мест участникам ярмарки, организуемой органом местного самоуправления, осуществляется на основании заявки об участии в ярмарке (далее - заявка) в порядке, установленном органом местного самоуправления.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3.5. Орган местного самоуправления ведет реестр заявок участников организуемой им ярмарки (далее - реестр заявок), в котором указываются дата и время поступления заявок, регистрационный номер заявок,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lastRenderedPageBreak/>
        <w:t>Орган местного самоуправления рассматривает заявку, принимает решение о предоставлении места на ярмарке или об отказе в предоставлении места на ярмарке, доводит решение до сведения заявителя не позднее трех рабочих дней со дня поступления заявки.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Решение о предоставлении места на ярмарке или об отказе в предоставлении места на ярмарке принимается органом местного самоуправления с учетом очередности поступления заявок.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3.6. Орган местного самоуправления отказывает заявителю в предоставлении места на организуемой им ярмарке при наличии одного из следующих оснований: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заявителем не соблюден установленный порядок подачи заявки;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указанные в заявке товары (работы, услуги), планируемые к реализации на ярмарке, запрещены или ограничены в обороте в соответствии с действующим законодательством, либо не соответствуют типу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отсутствие свободных торговых мест на ярмарке в соответствии со схемой размещения торговых мест на ярмарке;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г) несоблюдение требований к внешнему виду (оформлению, техническим характеристикам, типовым </w:t>
      </w:r>
      <w:proofErr w:type="gramStart"/>
      <w:r w:rsidRPr="00020A73">
        <w:rPr>
          <w:szCs w:val="20"/>
        </w:rPr>
        <w:t>архитектурным решениям</w:t>
      </w:r>
      <w:proofErr w:type="gramEnd"/>
      <w:r w:rsidRPr="00020A73">
        <w:rPr>
          <w:szCs w:val="20"/>
        </w:rPr>
        <w:t>) торговых мест на ярмарке (при наличии таких требований).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3.7. Предоставление торговых мест на ярмарке осуществляется организатором в соответствии со схемой размещения торговых мест на ярмарке. </w:t>
      </w:r>
      <w:proofErr w:type="gramStart"/>
      <w:r w:rsidRPr="00020A73">
        <w:rPr>
          <w:szCs w:val="20"/>
        </w:rPr>
        <w:t>Схема размещения торговых мест разрабатывается с учетом функционального зонирования территории ярмарки, предусматривающего зоны для размещения павильонов, цистерн по реализации продовольственных товаров и изотермических емкостей, санитарной зоны в целях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требований, требований пожарной безопасности.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3.8. Организатор ярмарки обеспечивает размещение участников ярмарки </w:t>
      </w:r>
      <w:proofErr w:type="gramStart"/>
      <w:r w:rsidRPr="00020A73">
        <w:rPr>
          <w:szCs w:val="20"/>
        </w:rPr>
        <w:t>на площадке ярмарки в дни ее проведения в соответствии со схемой размещения торговых мест на ярмарке</w:t>
      </w:r>
      <w:proofErr w:type="gramEnd"/>
      <w:r w:rsidRPr="00020A73">
        <w:rPr>
          <w:szCs w:val="20"/>
        </w:rPr>
        <w:t>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Организация и предоставление торговых мест, не предусмотренных схемой размещения торговых мест на ярмарке, не допускается.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3.9. В случае предоставления торговых мест на платной основе организатор ярмарки обеспечивает заключение договора о предоставлении торгового места с участником ярмарки, а также выдачу участнику ярмарки документа, подтверждающего соответствующую оплату.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3.10. Предоставленное организатором ярмарки место на ярмарке не может быть передано участником ярмарки третьему лицу.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Title"/>
        <w:contextualSpacing/>
        <w:jc w:val="center"/>
        <w:outlineLvl w:val="1"/>
        <w:rPr>
          <w:szCs w:val="20"/>
        </w:rPr>
      </w:pPr>
      <w:r w:rsidRPr="00020A73">
        <w:rPr>
          <w:szCs w:val="20"/>
        </w:rPr>
        <w:t>4. Требования к организации продажи товаров</w:t>
      </w:r>
    </w:p>
    <w:p w:rsidR="00F51C68" w:rsidRPr="00020A73" w:rsidRDefault="00F51C68" w:rsidP="00020A73">
      <w:pPr>
        <w:pStyle w:val="ConsPlusTitle"/>
        <w:contextualSpacing/>
        <w:jc w:val="center"/>
        <w:rPr>
          <w:szCs w:val="20"/>
        </w:rPr>
      </w:pPr>
      <w:r w:rsidRPr="00020A73">
        <w:rPr>
          <w:szCs w:val="20"/>
        </w:rPr>
        <w:t>(выполнения работ, оказания услуг) на ярмарках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4.1. В целях организации деятельности по продаже товаров (выполнению работ, оказанию услуг) на ярмарке организатор ярмарки обеспечивает: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надлежащее санитарно-техническое состояние мест для продажи товаров (выполнения работ, оказания услуг);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инженерно-техническое обеспечение ярмарки (при необходимости);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оснащение места проведения ярмарки контейнерами для сбора мусора;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организацию сбора и вывоза твердых бытовых отходов в соответствии с законодательством;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д) ежедневную уборку территории, на которой проводится ярмарка (далее - территория ярмарки), в период проведения ярмарки и после ее окончания;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е) организацию временных автостоянок для парковки личного автотранспорта и регулирование движения транспортных средств на территории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ж) сохранность объектов благоустройства на территории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з) доступность территории ярмарки и объектов, размещенных на ней, для людей с ограниченными возможностями здоровья;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и) организацию охраны и поддержание общественного порядка;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к) оборудование доступного для обозрения места, на котором размещаются: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наименование организатора ярмарки, места его нахождения, контактные телефоны;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режим работы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схема размещения торговых объектов на территории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схема эвакуации при возникновении аварийных или чрезвычайных ситуаций;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перечень отдельных категорий граждан, которым предоставлено право внеочередного обслуживания на ярмарке;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lastRenderedPageBreak/>
        <w:t>информация о наличии свободных торговых мест и их назначении;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информация, предусмотренная законодательством Российской Федерации о защите прав потребителей;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л) нахождение в течение всего времени работы ярмарки на ее территории представителя организатора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м) освобождение территории ярмарки от размещенных объектов и оборудования после завершения работы ярмарки;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н) учет участников ярмарки в период проведения ярмарки.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4.2. Продажа товаров (выполнение работ, оказание услуг) на ярмарках осуществляется на торговых местах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 Перечень товаров, подлежащих продаже на ярмарках, должен соответствовать ее типу.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21" w:name="P245"/>
      <w:bookmarkEnd w:id="21"/>
      <w:r w:rsidRPr="00020A73">
        <w:rPr>
          <w:szCs w:val="20"/>
        </w:rPr>
        <w:t>4.3. При продаже товаров (выполнении работ, оказании услуг) на ярмарке участники ярмарки, продавцы должны иметь документы, предусмотренные нормативными правовыми актами, регулирующими торговую деятельность, в том числе: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а) в случаях, установленных законодательством Российской Федерации, - товарно-сопроводительные документы, а также документы, подтверждающие соответствие товаров установленным требованиям (сертификат или декларация о соответствии либо их заверенные копии);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в случаях, установленных законодательством Российской Федерации, - положительное заключение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в случаях, установленных законодательством Российской Федерации, - документы, подтверждающие происхождение реализуемой продукции;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в случаях, установленных законодательством Российской Федерации, - личную медицинскую книжку продавца с отметкой о прохождении медицинского осмотра;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д) решение организатора ярмарки о предоставлении торгового места на ярмарке.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4.4. При продаже товаров (выполнении работ, оказании услуг) на ярмарке участник ярмарки, продавец обязаны своевременно в наглядной и доступной форме довести до сведения покупателей (потребителей) необходимую и достоверную информацию, обеспечивающую возможность правильного выбора товаров (работ, услуг), информацию о товарах (работах, услугах), изготовителях товаров.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4.5. Участник ярмарки, продавец обязаны: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а) соблюдать требования санитарно-эпидемиологического, противопожарного, ветеринарного законодательства, правила продажи отдельных видов товаров, настоящего Порядка;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б) иметь в наличии торговое оборудование, предназначенное для выкладки товаров и хранения запасов;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в) иметь в наличии холодильное оборудование при реализации скоропортящихся пищевых продуктов;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г) содержать предоставленное ему торговое место в надлежащем санитарном и техническом состоянии, производить на торговом месте уборку мусора в течение рабочего дня и после завершения торговли (выполнения работ, оказания услуг);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д) иметь в наличии вывески с информацией о принадлежности торгового места с указанием: наименования организации и места ее нахождения (юридический адрес) - для юридического лица; фамилии, имени, отчества (при наличии) индивидуального предпринимателя, сведений о государственной регистрации и наименовании зарегистрировавшего его органа - для индивидуального предпринимателя.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bookmarkStart w:id="22" w:name="P258"/>
      <w:bookmarkEnd w:id="22"/>
      <w:r w:rsidRPr="00020A73">
        <w:rPr>
          <w:szCs w:val="20"/>
        </w:rPr>
        <w:t>4.6. Граждане, ведущие личное подсобное хозяйство или занимающиеся садоводством, огородничеством, животноводством, должны иметь документ, подтверждающий осуществление деятельности личного подсобного хозяйства, садоводства, огородничества, животноводства: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абзацы второй - третий исключены. - Постановление Правительства Тюменской области от 14.06.2022 N 366-п,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граждане, ведущие личное подсобное хозяйство, - выписку из </w:t>
      </w:r>
      <w:proofErr w:type="spellStart"/>
      <w:r w:rsidRPr="00020A73">
        <w:rPr>
          <w:szCs w:val="20"/>
        </w:rPr>
        <w:t>похозяйственной</w:t>
      </w:r>
      <w:proofErr w:type="spellEnd"/>
      <w:r w:rsidRPr="00020A73">
        <w:rPr>
          <w:szCs w:val="20"/>
        </w:rPr>
        <w:t xml:space="preserve"> книги, которая ведется органом местного самоуправления поселения или городского округа в соответствии со статьей 8 Федерального закона от 07.07.2003 N 112-ФЗ "О личном подсобном хозяйстве",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proofErr w:type="gramStart"/>
      <w:r w:rsidRPr="00020A73">
        <w:rPr>
          <w:szCs w:val="20"/>
        </w:rPr>
        <w:t>граждане, занимающиеся садоводством, огородничеством, животноводством - документ, устанавливающий или удостоверяющий право на земельный участок, предоставленный для ведения садоводства, огородничества, животноводства.</w:t>
      </w:r>
      <w:proofErr w:type="gramEnd"/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lastRenderedPageBreak/>
        <w:t>4.7. Документы, указанные в пунктах 4.3, 4.6 настоящего Порядка, хранятся у участника ярмарки (продавца)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4.8.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4.9. Реализуемые на ярмарке товары (работы, услуги) должны быть снабжены ценниками. Ценники должны быть оформлены в соответствии с требованиями действующего законодательства.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4.10. Не допускается продажа на ярмарках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 xml:space="preserve">4.11. </w:t>
      </w:r>
      <w:proofErr w:type="gramStart"/>
      <w:r w:rsidRPr="00020A73">
        <w:rPr>
          <w:szCs w:val="20"/>
        </w:rPr>
        <w:t>Контроль за</w:t>
      </w:r>
      <w:proofErr w:type="gramEnd"/>
      <w:r w:rsidRPr="00020A73">
        <w:rPr>
          <w:szCs w:val="20"/>
        </w:rPr>
        <w:t xml:space="preserve"> соблюдением в местах проведения ярмарки правил торговли, требований действующего законодательства осуществляется контролирующими и надзорными органами в пределах своей компетенции.</w:t>
      </w:r>
    </w:p>
    <w:p w:rsidR="00F51C68" w:rsidRPr="00020A73" w:rsidRDefault="00F51C68" w:rsidP="00020A73">
      <w:pPr>
        <w:pStyle w:val="ConsPlusNormal"/>
        <w:spacing w:before="200"/>
        <w:ind w:firstLine="540"/>
        <w:contextualSpacing/>
        <w:jc w:val="both"/>
        <w:rPr>
          <w:szCs w:val="20"/>
        </w:rPr>
      </w:pPr>
      <w:r w:rsidRPr="00020A73">
        <w:rPr>
          <w:szCs w:val="20"/>
        </w:rPr>
        <w:t>4.12. Организатор ярмарки, участники ярмарки, продавцы несут ответственность за нарушение правил торговли, требований действующего законодательства при продаже товаров (выполнении работ, оказании услуг) на ярмарке в соответствии с действующим законодательством.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right"/>
        <w:outlineLvl w:val="1"/>
        <w:rPr>
          <w:szCs w:val="20"/>
        </w:rPr>
      </w:pPr>
      <w:r w:rsidRPr="00020A73">
        <w:rPr>
          <w:szCs w:val="20"/>
        </w:rPr>
        <w:t>Приложение N 1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к Порядку организации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ярмарок и продажи товаров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(выполнения работ, оказания услуг)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на них в Тюменской области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bookmarkStart w:id="23" w:name="P283"/>
      <w:bookmarkEnd w:id="23"/>
      <w:r w:rsidRPr="00020A73">
        <w:rPr>
          <w:szCs w:val="20"/>
        </w:rPr>
        <w:t>План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организации и проведения ярмарок на территории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___________________________________________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(муниципальное образование)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на ____ год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231"/>
        <w:gridCol w:w="3288"/>
        <w:gridCol w:w="1814"/>
      </w:tblGrid>
      <w:tr w:rsidR="00020A73" w:rsidRPr="00020A73">
        <w:tc>
          <w:tcPr>
            <w:tcW w:w="675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 xml:space="preserve">N </w:t>
            </w:r>
            <w:proofErr w:type="gramStart"/>
            <w:r w:rsidRPr="00020A73">
              <w:rPr>
                <w:szCs w:val="20"/>
              </w:rPr>
              <w:t>п</w:t>
            </w:r>
            <w:proofErr w:type="gramEnd"/>
            <w:r w:rsidRPr="00020A73">
              <w:rPr>
                <w:szCs w:val="20"/>
              </w:rPr>
              <w:t>/п</w:t>
            </w:r>
          </w:p>
        </w:tc>
        <w:tc>
          <w:tcPr>
            <w:tcW w:w="3231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Дата (срок) проведения ярмарки</w:t>
            </w:r>
          </w:p>
        </w:tc>
        <w:tc>
          <w:tcPr>
            <w:tcW w:w="3288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Место проведения ярмарки</w:t>
            </w:r>
          </w:p>
        </w:tc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Тип ярмарки</w:t>
            </w:r>
          </w:p>
        </w:tc>
      </w:tr>
      <w:tr w:rsidR="00020A73" w:rsidRPr="00020A73">
        <w:tc>
          <w:tcPr>
            <w:tcW w:w="675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323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3288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</w:tr>
      <w:tr w:rsidR="00F51C68" w:rsidRPr="00020A73">
        <w:tc>
          <w:tcPr>
            <w:tcW w:w="675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323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3288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</w:tr>
    </w:tbl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right"/>
        <w:outlineLvl w:val="1"/>
        <w:rPr>
          <w:szCs w:val="20"/>
        </w:rPr>
      </w:pPr>
      <w:r w:rsidRPr="00020A73">
        <w:rPr>
          <w:szCs w:val="20"/>
        </w:rPr>
        <w:t>Приложение N 2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к Порядку организации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ярмарок и продажи товаров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(выполнения работ, оказания услуг)</w:t>
      </w:r>
    </w:p>
    <w:p w:rsidR="00F51C68" w:rsidRPr="00020A73" w:rsidRDefault="00F51C68" w:rsidP="00020A73">
      <w:pPr>
        <w:pStyle w:val="ConsPlusNormal"/>
        <w:contextualSpacing/>
        <w:jc w:val="right"/>
        <w:rPr>
          <w:szCs w:val="20"/>
        </w:rPr>
      </w:pPr>
      <w:r w:rsidRPr="00020A73">
        <w:rPr>
          <w:szCs w:val="20"/>
        </w:rPr>
        <w:t>на них в Тюменской области</w:t>
      </w:r>
    </w:p>
    <w:p w:rsidR="00F51C68" w:rsidRPr="00020A73" w:rsidRDefault="00F51C68" w:rsidP="00020A73">
      <w:pPr>
        <w:pStyle w:val="ConsPlusNormal"/>
        <w:spacing w:after="1"/>
        <w:contextualSpacing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bookmarkStart w:id="24" w:name="P315"/>
      <w:bookmarkEnd w:id="24"/>
      <w:r w:rsidRPr="00020A73">
        <w:rPr>
          <w:szCs w:val="20"/>
        </w:rPr>
        <w:t>Информация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о проведенных ярмарках на территории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_________________________________________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t>(муниципальное образование)</w:t>
      </w:r>
    </w:p>
    <w:p w:rsidR="00F51C68" w:rsidRPr="00020A73" w:rsidRDefault="00F51C68" w:rsidP="00020A73">
      <w:pPr>
        <w:pStyle w:val="ConsPlusNormal"/>
        <w:contextualSpacing/>
        <w:jc w:val="center"/>
        <w:rPr>
          <w:szCs w:val="20"/>
        </w:rPr>
      </w:pPr>
      <w:r w:rsidRPr="00020A73">
        <w:rPr>
          <w:szCs w:val="20"/>
        </w:rPr>
        <w:lastRenderedPageBreak/>
        <w:t>в ____ году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rPr>
          <w:szCs w:val="20"/>
        </w:rPr>
        <w:sectPr w:rsidR="00F51C68" w:rsidRPr="00020A73" w:rsidSect="00C17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71"/>
        <w:gridCol w:w="1361"/>
        <w:gridCol w:w="1020"/>
        <w:gridCol w:w="1134"/>
        <w:gridCol w:w="1134"/>
        <w:gridCol w:w="1191"/>
        <w:gridCol w:w="2494"/>
        <w:gridCol w:w="1587"/>
      </w:tblGrid>
      <w:tr w:rsidR="00020A73" w:rsidRPr="00020A73">
        <w:tc>
          <w:tcPr>
            <w:tcW w:w="1814" w:type="dxa"/>
            <w:vMerge w:val="restart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Количество выделенных площадок для проведения ярмарок, имеющих временный характер работы</w:t>
            </w:r>
          </w:p>
        </w:tc>
        <w:tc>
          <w:tcPr>
            <w:tcW w:w="1361" w:type="dxa"/>
            <w:vMerge w:val="restart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Количество проведенных ярмарок</w:t>
            </w:r>
          </w:p>
        </w:tc>
        <w:tc>
          <w:tcPr>
            <w:tcW w:w="3288" w:type="dxa"/>
            <w:gridSpan w:val="3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Организатор ярмарки</w:t>
            </w:r>
          </w:p>
        </w:tc>
        <w:tc>
          <w:tcPr>
            <w:tcW w:w="5272" w:type="dxa"/>
            <w:gridSpan w:val="3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Количество торговых мест, выделенных на ярмарке</w:t>
            </w:r>
          </w:p>
        </w:tc>
      </w:tr>
      <w:tr w:rsidR="00020A73" w:rsidRPr="00020A73">
        <w:tc>
          <w:tcPr>
            <w:tcW w:w="1814" w:type="dxa"/>
            <w:vMerge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361" w:type="dxa"/>
            <w:vMerge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020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орган местного самоуправления</w:t>
            </w: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юридическое лицо</w:t>
            </w: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индивидуальный предприниматель</w:t>
            </w:r>
          </w:p>
        </w:tc>
        <w:tc>
          <w:tcPr>
            <w:tcW w:w="1191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proofErr w:type="spellStart"/>
            <w:r w:rsidRPr="00020A73">
              <w:rPr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249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proofErr w:type="gramStart"/>
            <w:r w:rsidRPr="00020A73">
              <w:rPr>
                <w:szCs w:val="20"/>
              </w:rPr>
              <w:t xml:space="preserve">гражданам - главам крестьянских (фермерских) хозяйств, членам таких хозяйств, </w:t>
            </w:r>
            <w:proofErr w:type="spellStart"/>
            <w:r w:rsidRPr="00020A73">
              <w:rPr>
                <w:szCs w:val="20"/>
              </w:rPr>
              <w:t>самозанятым</w:t>
            </w:r>
            <w:proofErr w:type="spellEnd"/>
            <w:r w:rsidRPr="00020A73">
              <w:rPr>
                <w:szCs w:val="20"/>
              </w:rPr>
              <w:t xml:space="preserve"> гражданам, гражданам, ведущим личные подсобные хозяйства или занимающимся садоводством, огородничеством, животноводством</w:t>
            </w:r>
            <w:proofErr w:type="gramEnd"/>
          </w:p>
        </w:tc>
        <w:tc>
          <w:tcPr>
            <w:tcW w:w="1587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прочим юридическим лицам, индивидуальным предпринимателям</w:t>
            </w:r>
          </w:p>
        </w:tc>
      </w:tr>
      <w:tr w:rsidR="00020A73" w:rsidRPr="00020A73"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2</w:t>
            </w:r>
          </w:p>
        </w:tc>
        <w:tc>
          <w:tcPr>
            <w:tcW w:w="1361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3 (4 + 5 + 6)</w:t>
            </w:r>
          </w:p>
        </w:tc>
        <w:tc>
          <w:tcPr>
            <w:tcW w:w="1020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bookmarkStart w:id="25" w:name="P335"/>
            <w:bookmarkEnd w:id="25"/>
            <w:r w:rsidRPr="00020A73"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bookmarkStart w:id="26" w:name="P336"/>
            <w:bookmarkEnd w:id="26"/>
            <w:r w:rsidRPr="00020A73">
              <w:rPr>
                <w:szCs w:val="20"/>
              </w:rPr>
              <w:t>5</w:t>
            </w: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bookmarkStart w:id="27" w:name="P337"/>
            <w:bookmarkEnd w:id="27"/>
            <w:r w:rsidRPr="00020A73">
              <w:rPr>
                <w:szCs w:val="20"/>
              </w:rPr>
              <w:t>6</w:t>
            </w:r>
          </w:p>
        </w:tc>
        <w:tc>
          <w:tcPr>
            <w:tcW w:w="1191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7</w:t>
            </w:r>
          </w:p>
        </w:tc>
        <w:tc>
          <w:tcPr>
            <w:tcW w:w="2494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8</w:t>
            </w:r>
          </w:p>
        </w:tc>
        <w:tc>
          <w:tcPr>
            <w:tcW w:w="1587" w:type="dxa"/>
          </w:tcPr>
          <w:p w:rsidR="00F51C68" w:rsidRPr="00020A73" w:rsidRDefault="00F51C68" w:rsidP="00020A73">
            <w:pPr>
              <w:pStyle w:val="ConsPlusNormal"/>
              <w:contextualSpacing/>
              <w:jc w:val="center"/>
              <w:rPr>
                <w:szCs w:val="20"/>
              </w:rPr>
            </w:pPr>
            <w:r w:rsidRPr="00020A73">
              <w:rPr>
                <w:szCs w:val="20"/>
              </w:rPr>
              <w:t>9</w:t>
            </w:r>
          </w:p>
        </w:tc>
      </w:tr>
      <w:tr w:rsidR="00020A73" w:rsidRPr="00020A73"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  <w:r w:rsidRPr="00020A73">
              <w:rPr>
                <w:szCs w:val="20"/>
              </w:rPr>
              <w:t>I полугодие, всего</w:t>
            </w:r>
          </w:p>
        </w:tc>
        <w:tc>
          <w:tcPr>
            <w:tcW w:w="187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36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020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9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249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587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</w:tr>
      <w:tr w:rsidR="00020A73" w:rsidRPr="00020A73"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  <w:proofErr w:type="gramStart"/>
            <w:r w:rsidRPr="00020A73">
              <w:rPr>
                <w:szCs w:val="20"/>
              </w:rPr>
              <w:t>Из них: сельскохозяйственные *</w:t>
            </w:r>
            <w:proofErr w:type="gramEnd"/>
          </w:p>
        </w:tc>
        <w:tc>
          <w:tcPr>
            <w:tcW w:w="187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36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020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9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249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587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</w:tr>
      <w:tr w:rsidR="00020A73" w:rsidRPr="00020A73"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  <w:r w:rsidRPr="00020A73">
              <w:rPr>
                <w:szCs w:val="20"/>
              </w:rPr>
              <w:t>II полугодие, всего</w:t>
            </w:r>
          </w:p>
        </w:tc>
        <w:tc>
          <w:tcPr>
            <w:tcW w:w="187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36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020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9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249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587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</w:tr>
      <w:tr w:rsidR="00F51C68" w:rsidRPr="00020A73">
        <w:tc>
          <w:tcPr>
            <w:tcW w:w="181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  <w:proofErr w:type="gramStart"/>
            <w:r w:rsidRPr="00020A73">
              <w:rPr>
                <w:szCs w:val="20"/>
              </w:rPr>
              <w:t>Из них: сельскохозяйственные *</w:t>
            </w:r>
            <w:proofErr w:type="gramEnd"/>
          </w:p>
        </w:tc>
        <w:tc>
          <w:tcPr>
            <w:tcW w:w="187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36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020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3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191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2494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  <w:tc>
          <w:tcPr>
            <w:tcW w:w="1587" w:type="dxa"/>
          </w:tcPr>
          <w:p w:rsidR="00F51C68" w:rsidRPr="00020A73" w:rsidRDefault="00F51C68" w:rsidP="00020A73">
            <w:pPr>
              <w:pStyle w:val="ConsPlusNormal"/>
              <w:contextualSpacing/>
              <w:rPr>
                <w:szCs w:val="20"/>
              </w:rPr>
            </w:pPr>
          </w:p>
        </w:tc>
      </w:tr>
    </w:tbl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ind w:firstLine="540"/>
        <w:contextualSpacing/>
        <w:jc w:val="both"/>
        <w:rPr>
          <w:szCs w:val="20"/>
        </w:rPr>
      </w:pPr>
      <w:bookmarkStart w:id="28" w:name="P378"/>
      <w:bookmarkEnd w:id="28"/>
      <w:r w:rsidRPr="00020A73">
        <w:rPr>
          <w:szCs w:val="20"/>
        </w:rPr>
        <w:t>* Сельскохозяйственная ярмарка - специализированная ярмарка, на которой осуществляется продажа сельскохозяйственной продукции в соответствии с перечнем, определенным Приказом Минсельхоза России от 24.10.2016 N 469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рынке".</w:t>
      </w: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contextualSpacing/>
        <w:jc w:val="both"/>
        <w:rPr>
          <w:szCs w:val="20"/>
        </w:rPr>
      </w:pPr>
    </w:p>
    <w:p w:rsidR="00F51C68" w:rsidRPr="00020A73" w:rsidRDefault="00F51C68" w:rsidP="00020A73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szCs w:val="20"/>
        </w:rPr>
      </w:pPr>
    </w:p>
    <w:p w:rsidR="00FB5E54" w:rsidRPr="00020A73" w:rsidRDefault="00FB5E54" w:rsidP="00020A73">
      <w:pPr>
        <w:contextualSpacing/>
        <w:rPr>
          <w:rFonts w:ascii="Arial" w:hAnsi="Arial" w:cs="Arial"/>
          <w:sz w:val="20"/>
          <w:szCs w:val="20"/>
        </w:rPr>
      </w:pPr>
    </w:p>
    <w:sectPr w:rsidR="00FB5E54" w:rsidRPr="00020A7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68"/>
    <w:rsid w:val="00020A73"/>
    <w:rsid w:val="00F51C68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1C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 Анастасия Владимировна</dc:creator>
  <cp:lastModifiedBy>Белослудцева Анастасия Владимировна</cp:lastModifiedBy>
  <cp:revision>2</cp:revision>
  <dcterms:created xsi:type="dcterms:W3CDTF">2023-04-06T05:17:00Z</dcterms:created>
  <dcterms:modified xsi:type="dcterms:W3CDTF">2023-04-06T05:24:00Z</dcterms:modified>
</cp:coreProperties>
</file>