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00" w:rsidRDefault="005B23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2300" w:rsidRDefault="005B2300">
      <w:pPr>
        <w:pStyle w:val="ConsPlusNormal"/>
        <w:jc w:val="both"/>
        <w:outlineLvl w:val="0"/>
      </w:pPr>
    </w:p>
    <w:p w:rsidR="005B2300" w:rsidRDefault="005B230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B2300" w:rsidRDefault="005B2300">
      <w:pPr>
        <w:pStyle w:val="ConsPlusTitle"/>
        <w:jc w:val="center"/>
      </w:pPr>
    </w:p>
    <w:p w:rsidR="005B2300" w:rsidRDefault="005B2300">
      <w:pPr>
        <w:pStyle w:val="ConsPlusTitle"/>
        <w:jc w:val="center"/>
      </w:pPr>
      <w:r>
        <w:t>ПОСТАНОВЛЕНИЕ</w:t>
      </w:r>
    </w:p>
    <w:p w:rsidR="005B2300" w:rsidRDefault="005B2300">
      <w:pPr>
        <w:pStyle w:val="ConsPlusTitle"/>
        <w:jc w:val="center"/>
      </w:pPr>
      <w:r>
        <w:t>от 3 декабря 2014 г. N 1300</w:t>
      </w:r>
    </w:p>
    <w:p w:rsidR="005B2300" w:rsidRDefault="005B2300">
      <w:pPr>
        <w:pStyle w:val="ConsPlusTitle"/>
        <w:jc w:val="center"/>
      </w:pPr>
    </w:p>
    <w:p w:rsidR="005B2300" w:rsidRDefault="005B2300">
      <w:pPr>
        <w:pStyle w:val="ConsPlusTitle"/>
        <w:jc w:val="center"/>
      </w:pPr>
      <w:r>
        <w:t>ОБ УТВЕРЖДЕНИИ ПЕРЕЧНЯ</w:t>
      </w:r>
    </w:p>
    <w:p w:rsidR="005B2300" w:rsidRDefault="005B2300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5B2300" w:rsidRDefault="005B2300">
      <w:pPr>
        <w:pStyle w:val="ConsPlusTitle"/>
        <w:jc w:val="center"/>
      </w:pPr>
      <w:r>
        <w:t>НА ЗЕМЛЯХ ИЛИ ЗЕМЕЛЬНЫХ УЧАСТКАХ, НАХОДЯЩИХСЯ</w:t>
      </w:r>
    </w:p>
    <w:p w:rsidR="005B2300" w:rsidRDefault="005B2300">
      <w:pPr>
        <w:pStyle w:val="ConsPlusTitle"/>
        <w:jc w:val="center"/>
      </w:pPr>
      <w:r>
        <w:t>В ГОСУДАРСТВЕННОЙ ИЛИ МУНИЦИПАЛЬНОЙ СОБСТВЕННОСТИ,</w:t>
      </w:r>
    </w:p>
    <w:p w:rsidR="005B2300" w:rsidRDefault="005B2300">
      <w:pPr>
        <w:pStyle w:val="ConsPlusTitle"/>
        <w:jc w:val="center"/>
      </w:pPr>
      <w:r>
        <w:t>БЕЗ ПРЕДОСТАВЛЕНИЯ ЗЕМЕЛЬНЫХ УЧАСТКОВ</w:t>
      </w:r>
    </w:p>
    <w:p w:rsidR="005B2300" w:rsidRDefault="005B2300">
      <w:pPr>
        <w:pStyle w:val="ConsPlusTitle"/>
        <w:jc w:val="center"/>
      </w:pPr>
      <w:r>
        <w:t>И УСТАНОВЛЕНИЯ СЕРВИТУТОВ</w:t>
      </w:r>
    </w:p>
    <w:p w:rsidR="005B2300" w:rsidRDefault="005B23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3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300" w:rsidRDefault="005B230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300" w:rsidRDefault="005B23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300" w:rsidRDefault="005B23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300" w:rsidRDefault="005B23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5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</w:p>
          <w:p w:rsidR="005B2300" w:rsidRDefault="005B23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6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7" w:history="1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300" w:rsidRDefault="005B2300"/>
        </w:tc>
      </w:tr>
    </w:tbl>
    <w:p w:rsidR="005B2300" w:rsidRDefault="005B2300">
      <w:pPr>
        <w:pStyle w:val="ConsPlusNormal"/>
        <w:jc w:val="center"/>
      </w:pPr>
    </w:p>
    <w:p w:rsidR="005B2300" w:rsidRDefault="005B230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5B2300" w:rsidRDefault="005B2300">
      <w:pPr>
        <w:pStyle w:val="ConsPlusNormal"/>
        <w:jc w:val="both"/>
      </w:pPr>
    </w:p>
    <w:p w:rsidR="005B2300" w:rsidRDefault="005B2300">
      <w:pPr>
        <w:pStyle w:val="ConsPlusNormal"/>
        <w:jc w:val="right"/>
      </w:pPr>
      <w:r>
        <w:t>Председатель Правительства</w:t>
      </w:r>
    </w:p>
    <w:p w:rsidR="005B2300" w:rsidRDefault="005B2300">
      <w:pPr>
        <w:pStyle w:val="ConsPlusNormal"/>
        <w:jc w:val="right"/>
      </w:pPr>
      <w:r>
        <w:t>Российской Федерации</w:t>
      </w:r>
    </w:p>
    <w:p w:rsidR="005B2300" w:rsidRDefault="005B2300">
      <w:pPr>
        <w:pStyle w:val="ConsPlusNormal"/>
        <w:jc w:val="right"/>
      </w:pPr>
      <w:r>
        <w:t>Д.МЕДВЕДЕВ</w:t>
      </w:r>
    </w:p>
    <w:p w:rsidR="005B2300" w:rsidRDefault="005B2300">
      <w:pPr>
        <w:pStyle w:val="ConsPlusNormal"/>
        <w:jc w:val="both"/>
      </w:pPr>
    </w:p>
    <w:p w:rsidR="005B2300" w:rsidRDefault="005B2300">
      <w:pPr>
        <w:pStyle w:val="ConsPlusNormal"/>
        <w:jc w:val="both"/>
      </w:pPr>
    </w:p>
    <w:p w:rsidR="005B2300" w:rsidRDefault="005B2300">
      <w:pPr>
        <w:pStyle w:val="ConsPlusNormal"/>
        <w:jc w:val="both"/>
      </w:pPr>
    </w:p>
    <w:p w:rsidR="005B2300" w:rsidRDefault="005B2300">
      <w:pPr>
        <w:pStyle w:val="ConsPlusNormal"/>
        <w:jc w:val="both"/>
      </w:pPr>
    </w:p>
    <w:p w:rsidR="005B2300" w:rsidRDefault="005B2300">
      <w:pPr>
        <w:pStyle w:val="ConsPlusNormal"/>
        <w:jc w:val="both"/>
      </w:pPr>
    </w:p>
    <w:p w:rsidR="005B2300" w:rsidRDefault="005B2300">
      <w:pPr>
        <w:pStyle w:val="ConsPlusNormal"/>
        <w:jc w:val="right"/>
        <w:outlineLvl w:val="0"/>
      </w:pPr>
      <w:r>
        <w:t>Утвержден</w:t>
      </w:r>
    </w:p>
    <w:p w:rsidR="005B2300" w:rsidRDefault="005B2300">
      <w:pPr>
        <w:pStyle w:val="ConsPlusNormal"/>
        <w:jc w:val="right"/>
      </w:pPr>
      <w:r>
        <w:t>постановлением Правительства</w:t>
      </w:r>
    </w:p>
    <w:p w:rsidR="005B2300" w:rsidRDefault="005B2300">
      <w:pPr>
        <w:pStyle w:val="ConsPlusNormal"/>
        <w:jc w:val="right"/>
      </w:pPr>
      <w:r>
        <w:t>Российской Федерации</w:t>
      </w:r>
    </w:p>
    <w:p w:rsidR="005B2300" w:rsidRDefault="005B2300">
      <w:pPr>
        <w:pStyle w:val="ConsPlusNormal"/>
        <w:jc w:val="right"/>
      </w:pPr>
      <w:r>
        <w:t>от 3 декабря 2014 г. N 1300</w:t>
      </w:r>
    </w:p>
    <w:p w:rsidR="005B2300" w:rsidRDefault="005B2300">
      <w:pPr>
        <w:pStyle w:val="ConsPlusNormal"/>
        <w:jc w:val="both"/>
      </w:pPr>
    </w:p>
    <w:p w:rsidR="005B2300" w:rsidRDefault="005B2300">
      <w:pPr>
        <w:pStyle w:val="ConsPlusTitle"/>
        <w:jc w:val="center"/>
      </w:pPr>
      <w:bookmarkStart w:id="0" w:name="P33"/>
      <w:bookmarkEnd w:id="0"/>
      <w:r>
        <w:t>ПЕРЕЧЕНЬ</w:t>
      </w:r>
    </w:p>
    <w:p w:rsidR="005B2300" w:rsidRDefault="005B2300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5B2300" w:rsidRDefault="005B2300">
      <w:pPr>
        <w:pStyle w:val="ConsPlusTitle"/>
        <w:jc w:val="center"/>
      </w:pPr>
      <w:r>
        <w:t>НА ЗЕМЛЯХ ИЛИ ЗЕМЕЛЬНЫХ УЧАСТКАХ, НАХОДЯЩИХСЯ</w:t>
      </w:r>
    </w:p>
    <w:p w:rsidR="005B2300" w:rsidRDefault="005B2300">
      <w:pPr>
        <w:pStyle w:val="ConsPlusTitle"/>
        <w:jc w:val="center"/>
      </w:pPr>
      <w:r>
        <w:t>В ГОСУДАРСТВЕННОЙ ИЛИ МУНИЦИПАЛЬНОЙ СОБСТВЕННОСТИ,</w:t>
      </w:r>
    </w:p>
    <w:p w:rsidR="005B2300" w:rsidRDefault="005B2300">
      <w:pPr>
        <w:pStyle w:val="ConsPlusTitle"/>
        <w:jc w:val="center"/>
      </w:pPr>
      <w:r>
        <w:t>БЕЗ ПРЕДОСТАВЛЕНИЯ ЗЕМЕЛЬНЫХ УЧАСТКОВ</w:t>
      </w:r>
    </w:p>
    <w:p w:rsidR="005B2300" w:rsidRDefault="005B2300">
      <w:pPr>
        <w:pStyle w:val="ConsPlusTitle"/>
        <w:jc w:val="center"/>
      </w:pPr>
      <w:r>
        <w:t>И УСТАНОВЛЕНИЯ СЕРВИТУТОВ</w:t>
      </w:r>
    </w:p>
    <w:p w:rsidR="005B2300" w:rsidRDefault="005B230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B23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300" w:rsidRDefault="005B230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300" w:rsidRDefault="005B230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2300" w:rsidRDefault="005B23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2300" w:rsidRDefault="005B23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9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</w:p>
          <w:p w:rsidR="005B2300" w:rsidRDefault="005B23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0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11" w:history="1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2300" w:rsidRDefault="005B2300"/>
        </w:tc>
      </w:tr>
    </w:tbl>
    <w:p w:rsidR="005B2300" w:rsidRDefault="005B2300">
      <w:pPr>
        <w:pStyle w:val="ConsPlusNormal"/>
        <w:jc w:val="both"/>
      </w:pPr>
    </w:p>
    <w:p w:rsidR="005B2300" w:rsidRDefault="005B2300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5B2300" w:rsidRDefault="005B2300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5B2300" w:rsidRDefault="005B2300">
      <w:pPr>
        <w:pStyle w:val="ConsPlusNormal"/>
        <w:jc w:val="both"/>
      </w:pPr>
      <w:r>
        <w:t xml:space="preserve">(п. 4(1)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5B2300" w:rsidRDefault="005B2300">
      <w:pPr>
        <w:pStyle w:val="ConsPlusNormal"/>
        <w:jc w:val="both"/>
      </w:pPr>
      <w:r>
        <w:t xml:space="preserve">(п. 9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5B2300" w:rsidRDefault="005B2300">
      <w:pPr>
        <w:pStyle w:val="ConsPlusNormal"/>
        <w:jc w:val="both"/>
      </w:pPr>
      <w:r>
        <w:t xml:space="preserve">(п. 11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14. Пруды-испарители.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lastRenderedPageBreak/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5B2300" w:rsidRDefault="005B2300">
      <w:pPr>
        <w:pStyle w:val="ConsPlusNormal"/>
        <w:jc w:val="both"/>
      </w:pPr>
      <w:r>
        <w:t xml:space="preserve">(п. 16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5B2300" w:rsidRDefault="005B2300">
      <w:pPr>
        <w:pStyle w:val="ConsPlusNormal"/>
        <w:jc w:val="both"/>
      </w:pPr>
      <w:r>
        <w:t xml:space="preserve">(п. 17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</w:p>
    <w:p w:rsidR="005B2300" w:rsidRDefault="005B2300">
      <w:pPr>
        <w:pStyle w:val="ConsPlusNormal"/>
        <w:jc w:val="both"/>
      </w:pPr>
      <w:r>
        <w:t xml:space="preserve">(п. 18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19.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:rsidR="005B2300" w:rsidRDefault="005B2300">
      <w:pPr>
        <w:pStyle w:val="ConsPlusNormal"/>
        <w:jc w:val="both"/>
      </w:pPr>
      <w:r>
        <w:t xml:space="preserve">(п. 19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5B2300" w:rsidRDefault="005B2300">
      <w:pPr>
        <w:pStyle w:val="ConsPlusNormal"/>
        <w:jc w:val="both"/>
      </w:pPr>
      <w:r>
        <w:t xml:space="preserve">(п. 20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5B2300" w:rsidRDefault="005B2300">
      <w:pPr>
        <w:pStyle w:val="ConsPlusNormal"/>
        <w:jc w:val="both"/>
      </w:pPr>
      <w:r>
        <w:t xml:space="preserve">(п. 21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5B2300" w:rsidRDefault="005B2300">
      <w:pPr>
        <w:pStyle w:val="ConsPlusNormal"/>
        <w:jc w:val="both"/>
      </w:pPr>
      <w:r>
        <w:t xml:space="preserve">(п. 22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5B2300" w:rsidRDefault="005B2300">
      <w:pPr>
        <w:pStyle w:val="ConsPlusNormal"/>
        <w:jc w:val="both"/>
      </w:pPr>
      <w:r>
        <w:t xml:space="preserve">(п. 23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5B2300" w:rsidRDefault="005B2300">
      <w:pPr>
        <w:pStyle w:val="ConsPlusNormal"/>
        <w:jc w:val="both"/>
      </w:pPr>
      <w:r>
        <w:t xml:space="preserve">(п. 24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5B2300" w:rsidRDefault="005B2300">
      <w:pPr>
        <w:pStyle w:val="ConsPlusNormal"/>
        <w:jc w:val="both"/>
      </w:pPr>
      <w:r>
        <w:t xml:space="preserve">(п. 25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5B2300" w:rsidRDefault="005B2300">
      <w:pPr>
        <w:pStyle w:val="ConsPlusNormal"/>
        <w:jc w:val="both"/>
      </w:pPr>
      <w:r>
        <w:t xml:space="preserve">(п. 26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5B2300" w:rsidRDefault="005B2300">
      <w:pPr>
        <w:pStyle w:val="ConsPlusNormal"/>
        <w:jc w:val="both"/>
      </w:pPr>
      <w:r>
        <w:t xml:space="preserve">(п. 27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28. Платежные терминалы для оплаты услуг и штрафов.</w:t>
      </w:r>
    </w:p>
    <w:p w:rsidR="005B2300" w:rsidRDefault="005B2300">
      <w:pPr>
        <w:pStyle w:val="ConsPlusNormal"/>
        <w:jc w:val="both"/>
      </w:pPr>
      <w:r>
        <w:t xml:space="preserve">(п. 28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lastRenderedPageBreak/>
        <w:t>29. Общественные туалеты нестационарного типа.</w:t>
      </w:r>
    </w:p>
    <w:p w:rsidR="005B2300" w:rsidRDefault="005B2300">
      <w:pPr>
        <w:pStyle w:val="ConsPlusNormal"/>
        <w:jc w:val="both"/>
      </w:pPr>
      <w:r>
        <w:t xml:space="preserve">(п. 29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5B2300" w:rsidRDefault="005B2300">
      <w:pPr>
        <w:pStyle w:val="ConsPlusNormal"/>
        <w:jc w:val="both"/>
      </w:pPr>
      <w:r>
        <w:t xml:space="preserve">(п. 30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5B2300" w:rsidRDefault="005B2300">
      <w:pPr>
        <w:pStyle w:val="ConsPlusNormal"/>
        <w:spacing w:before="220"/>
        <w:ind w:firstLine="540"/>
        <w:jc w:val="both"/>
      </w:pPr>
      <w: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5B2300" w:rsidRDefault="005B2300">
      <w:pPr>
        <w:pStyle w:val="ConsPlusNormal"/>
        <w:jc w:val="both"/>
      </w:pPr>
      <w:r>
        <w:t xml:space="preserve">(п. 31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12.11.2020 N 1816)</w:t>
      </w:r>
    </w:p>
    <w:p w:rsidR="005B2300" w:rsidRDefault="005B2300">
      <w:pPr>
        <w:pStyle w:val="ConsPlusNormal"/>
        <w:jc w:val="both"/>
      </w:pPr>
    </w:p>
    <w:p w:rsidR="005B2300" w:rsidRDefault="005B2300">
      <w:pPr>
        <w:pStyle w:val="ConsPlusNormal"/>
        <w:jc w:val="both"/>
      </w:pPr>
    </w:p>
    <w:p w:rsidR="005B2300" w:rsidRDefault="005B23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6698" w:rsidRDefault="00056698">
      <w:bookmarkStart w:id="1" w:name="_GoBack"/>
      <w:bookmarkEnd w:id="1"/>
    </w:p>
    <w:sectPr w:rsidR="00056698" w:rsidSect="0098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00"/>
    <w:rsid w:val="00056698"/>
    <w:rsid w:val="005B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77E87-1766-45E0-9CF4-DC565F13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A236ABB2DC44E742F9760F2FDAABD8682D554EDE8A909130033B3C171C0C028F847EBFDDE54A56431480608C57416F1A99A7A8A941F01Fi5i8J" TargetMode="External"/><Relationship Id="rId18" Type="http://schemas.openxmlformats.org/officeDocument/2006/relationships/hyperlink" Target="consultantplus://offline/ref=2FA236ABB2DC44E742F9760F2FDAABD86A24534ED08A909130033B3C171C0C028F847EBFDDE54A56471480608C57416F1A99A7A8A941F01Fi5i8J" TargetMode="External"/><Relationship Id="rId26" Type="http://schemas.openxmlformats.org/officeDocument/2006/relationships/hyperlink" Target="consultantplus://offline/ref=2FA236ABB2DC44E742F9760F2FDAABD868245448D08E909130033B3C171C0C028F847EBFDDE54A53461480608C57416F1A99A7A8A941F01Fi5i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A236ABB2DC44E742F9760F2FDAABD86A24534ED08A909130033B3C171C0C028F847EBFDDE54A56451480608C57416F1A99A7A8A941F01Fi5i8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FA236ABB2DC44E742F9760F2FDAABD868245448D08E909130033B3C171C0C028F847EBFDDE54A574A1480608C57416F1A99A7A8A941F01Fi5i8J" TargetMode="External"/><Relationship Id="rId12" Type="http://schemas.openxmlformats.org/officeDocument/2006/relationships/hyperlink" Target="consultantplus://offline/ref=2FA236ABB2DC44E742F9760F2FDAABD8682D554EDE8A909130033B3C171C0C028F847EBFDDE54A574B1480608C57416F1A99A7A8A941F01Fi5i8J" TargetMode="External"/><Relationship Id="rId17" Type="http://schemas.openxmlformats.org/officeDocument/2006/relationships/hyperlink" Target="consultantplus://offline/ref=2FA236ABB2DC44E742F9760F2FDAABD86A24534ED08A909130033B3C171C0C028F847EBFDDE54A56461480608C57416F1A99A7A8A941F01Fi5i8J" TargetMode="External"/><Relationship Id="rId25" Type="http://schemas.openxmlformats.org/officeDocument/2006/relationships/hyperlink" Target="consultantplus://offline/ref=2FA236ABB2DC44E742F9760F2FDAABD86A24534ED08A909130033B3C171C0C028F847EBFDDE54A55431480608C57416F1A99A7A8A941F01Fi5i8J" TargetMode="External"/><Relationship Id="rId33" Type="http://schemas.openxmlformats.org/officeDocument/2006/relationships/hyperlink" Target="consultantplus://offline/ref=2FA236ABB2DC44E742F9760F2FDAABD868245448D08E909130033B3C171C0C028F847EBFDDE54A53471480608C57416F1A99A7A8A941F01Fi5i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A236ABB2DC44E742F9760F2FDAABD86A24534ED08A909130033B3C171C0C028F847EBFDDE54A56401480608C57416F1A99A7A8A941F01Fi5i8J" TargetMode="External"/><Relationship Id="rId20" Type="http://schemas.openxmlformats.org/officeDocument/2006/relationships/hyperlink" Target="consultantplus://offline/ref=2FA236ABB2DC44E742F9760F2FDAABD86A24534ED08A909130033B3C171C0C028F847EBFDDE54A56441480608C57416F1A99A7A8A941F01Fi5i8J" TargetMode="External"/><Relationship Id="rId29" Type="http://schemas.openxmlformats.org/officeDocument/2006/relationships/hyperlink" Target="consultantplus://offline/ref=2FA236ABB2DC44E742F9760F2FDAABD86A24534ED08A909130033B3C171C0C028F847EBFDDE54A55461480608C57416F1A99A7A8A941F01Fi5i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A236ABB2DC44E742F9760F2FDAABD8682D554EDE8A909130033B3C171C0C028F847EBFDDE54A57471480608C57416F1A99A7A8A941F01Fi5i8J" TargetMode="External"/><Relationship Id="rId11" Type="http://schemas.openxmlformats.org/officeDocument/2006/relationships/hyperlink" Target="consultantplus://offline/ref=2FA236ABB2DC44E742F9760F2FDAABD868245448D08E909130033B3C171C0C028F847EBFDDE54A574A1480608C57416F1A99A7A8A941F01Fi5i8J" TargetMode="External"/><Relationship Id="rId24" Type="http://schemas.openxmlformats.org/officeDocument/2006/relationships/hyperlink" Target="consultantplus://offline/ref=2FA236ABB2DC44E742F9760F2FDAABD86A24534ED08A909130033B3C171C0C028F847EBFDDE54A55421480608C57416F1A99A7A8A941F01Fi5i8J" TargetMode="External"/><Relationship Id="rId32" Type="http://schemas.openxmlformats.org/officeDocument/2006/relationships/hyperlink" Target="consultantplus://offline/ref=2FA236ABB2DC44E742F9760F2FDAABD86A24534ED08A909130033B3C171C0C028F847EBFDDE54A55451480608C57416F1A99A7A8A941F01Fi5i8J" TargetMode="External"/><Relationship Id="rId5" Type="http://schemas.openxmlformats.org/officeDocument/2006/relationships/hyperlink" Target="consultantplus://offline/ref=2FA236ABB2DC44E742F9760F2FDAABD86A24534ED08A909130033B3C171C0C028F847EBFDDE54A57471480608C57416F1A99A7A8A941F01Fi5i8J" TargetMode="External"/><Relationship Id="rId15" Type="http://schemas.openxmlformats.org/officeDocument/2006/relationships/hyperlink" Target="consultantplus://offline/ref=2FA236ABB2DC44E742F9760F2FDAABD86A24534ED08A909130033B3C171C0C028F847EBFDDE54A56421480608C57416F1A99A7A8A941F01Fi5i8J" TargetMode="External"/><Relationship Id="rId23" Type="http://schemas.openxmlformats.org/officeDocument/2006/relationships/hyperlink" Target="consultantplus://offline/ref=2FA236ABB2DC44E742F9760F2FDAABD86A24534ED08A909130033B3C171C0C028F847EBFDDE54A564B1480608C57416F1A99A7A8A941F01Fi5i8J" TargetMode="External"/><Relationship Id="rId28" Type="http://schemas.openxmlformats.org/officeDocument/2006/relationships/hyperlink" Target="consultantplus://offline/ref=2FA236ABB2DC44E742F9760F2FDAABD86A24534ED08A909130033B3C171C0C028F847EBFDDE54A55411480608C57416F1A99A7A8A941F01Fi5i8J" TargetMode="External"/><Relationship Id="rId10" Type="http://schemas.openxmlformats.org/officeDocument/2006/relationships/hyperlink" Target="consultantplus://offline/ref=2FA236ABB2DC44E742F9760F2FDAABD8682D554EDE8A909130033B3C171C0C028F847EBFDDE54A57471480608C57416F1A99A7A8A941F01Fi5i8J" TargetMode="External"/><Relationship Id="rId19" Type="http://schemas.openxmlformats.org/officeDocument/2006/relationships/hyperlink" Target="consultantplus://offline/ref=2FA236ABB2DC44E742F9760F2FDAABD868245448D08E909130033B3C171C0C028F847EBFDDE54A53411480608C57416F1A99A7A8A941F01Fi5i8J" TargetMode="External"/><Relationship Id="rId31" Type="http://schemas.openxmlformats.org/officeDocument/2006/relationships/hyperlink" Target="consultantplus://offline/ref=2FA236ABB2DC44E742F9760F2FDAABD86A24534ED08A909130033B3C171C0C028F847EBFDDE54A55441480608C57416F1A99A7A8A941F01Fi5i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A236ABB2DC44E742F9760F2FDAABD86A24534ED08A909130033B3C171C0C028F847EBFDDE54A57471480608C57416F1A99A7A8A941F01Fi5i8J" TargetMode="External"/><Relationship Id="rId14" Type="http://schemas.openxmlformats.org/officeDocument/2006/relationships/hyperlink" Target="consultantplus://offline/ref=2FA236ABB2DC44E742F9760F2FDAABD868245448D08E909130033B3C171C0C028F847EBFDDE54A53431480608C57416F1A99A7A8A941F01Fi5i8J" TargetMode="External"/><Relationship Id="rId22" Type="http://schemas.openxmlformats.org/officeDocument/2006/relationships/hyperlink" Target="consultantplus://offline/ref=2FA236ABB2DC44E742F9760F2FDAABD86A24534ED08A909130033B3C171C0C028F847EBFDDE54A564A1480608C57416F1A99A7A8A941F01Fi5i8J" TargetMode="External"/><Relationship Id="rId27" Type="http://schemas.openxmlformats.org/officeDocument/2006/relationships/hyperlink" Target="consultantplus://offline/ref=2FA236ABB2DC44E742F9760F2FDAABD86A24534ED08A909130033B3C171C0C028F847EBFDDE54A55401480608C57416F1A99A7A8A941F01Fi5i8J" TargetMode="External"/><Relationship Id="rId30" Type="http://schemas.openxmlformats.org/officeDocument/2006/relationships/hyperlink" Target="consultantplus://offline/ref=2FA236ABB2DC44E742F9760F2FDAABD86A24534ED08A909130033B3C171C0C028F847EBFDDE54A55471480608C57416F1A99A7A8A941F01Fi5i8J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FA236ABB2DC44E742F9760F2FDAABD86825554FD189909130033B3C171C0C028F847EBFDDEC425C164E9064C5034E701986B8ABB741iFi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Колохматова Оксана Анатольевна</dc:creator>
  <cp:keywords/>
  <dc:description/>
  <cp:lastModifiedBy>Колохматова Оксана Анатольевна</cp:lastModifiedBy>
  <cp:revision>1</cp:revision>
  <dcterms:created xsi:type="dcterms:W3CDTF">2021-11-12T09:34:00Z</dcterms:created>
  <dcterms:modified xsi:type="dcterms:W3CDTF">2021-11-12T09:35:00Z</dcterms:modified>
</cp:coreProperties>
</file>