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DE" w:rsidRDefault="007205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05DE" w:rsidRDefault="007205DE">
      <w:pPr>
        <w:pStyle w:val="ConsPlusNormal"/>
        <w:jc w:val="both"/>
        <w:outlineLvl w:val="0"/>
      </w:pPr>
    </w:p>
    <w:p w:rsidR="007205DE" w:rsidRDefault="007205DE">
      <w:pPr>
        <w:pStyle w:val="ConsPlusTitle"/>
        <w:jc w:val="center"/>
        <w:outlineLvl w:val="0"/>
      </w:pPr>
      <w:r>
        <w:t>ДЕПАРТАМЕНТ ИНФОРМАТИЗАЦИИ ТЮМЕНСКОЙ ОБЛАСТИ</w:t>
      </w:r>
    </w:p>
    <w:p w:rsidR="007205DE" w:rsidRDefault="007205DE">
      <w:pPr>
        <w:pStyle w:val="ConsPlusTitle"/>
        <w:jc w:val="center"/>
      </w:pPr>
    </w:p>
    <w:p w:rsidR="007205DE" w:rsidRDefault="007205DE">
      <w:pPr>
        <w:pStyle w:val="ConsPlusTitle"/>
        <w:jc w:val="center"/>
      </w:pPr>
      <w:r>
        <w:t>РАСПОРЯЖЕНИЕ</w:t>
      </w:r>
    </w:p>
    <w:p w:rsidR="007205DE" w:rsidRDefault="007205DE">
      <w:pPr>
        <w:pStyle w:val="ConsPlusTitle"/>
        <w:jc w:val="center"/>
      </w:pPr>
      <w:r>
        <w:t>от 6 октября 2017 г. N 12-р</w:t>
      </w:r>
    </w:p>
    <w:p w:rsidR="007205DE" w:rsidRDefault="007205DE">
      <w:pPr>
        <w:pStyle w:val="ConsPlusTitle"/>
        <w:jc w:val="center"/>
      </w:pPr>
    </w:p>
    <w:p w:rsidR="007205DE" w:rsidRDefault="007205DE">
      <w:pPr>
        <w:pStyle w:val="ConsPlusTitle"/>
        <w:jc w:val="center"/>
      </w:pPr>
      <w:r>
        <w:t xml:space="preserve">О ВВОДЕ В ЭКСПЛУАТАЦИЮ </w:t>
      </w:r>
      <w:proofErr w:type="gramStart"/>
      <w:r>
        <w:t>РЕГИОНАЛЬНОЙ</w:t>
      </w:r>
      <w:proofErr w:type="gramEnd"/>
      <w:r>
        <w:t xml:space="preserve"> ЕДИНОЙ ГОСУДАРСТВЕННОЙ</w:t>
      </w:r>
    </w:p>
    <w:p w:rsidR="007205DE" w:rsidRDefault="007205DE">
      <w:pPr>
        <w:pStyle w:val="ConsPlusTitle"/>
        <w:jc w:val="center"/>
      </w:pPr>
      <w:r>
        <w:t>ИНФОРМАЦИОННОЙ СИСТЕМЫ ОБРАЗОВАНИЯ</w:t>
      </w:r>
    </w:p>
    <w:p w:rsidR="007205DE" w:rsidRDefault="007205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05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5DE" w:rsidRDefault="00720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5DE" w:rsidRDefault="007205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информатизации Тюменской области</w:t>
            </w:r>
            <w:proofErr w:type="gramEnd"/>
          </w:p>
          <w:p w:rsidR="007205DE" w:rsidRDefault="00720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6" w:history="1">
              <w:r>
                <w:rPr>
                  <w:color w:val="0000FF"/>
                </w:rPr>
                <w:t>N 08-р</w:t>
              </w:r>
            </w:hyperlink>
            <w:r>
              <w:rPr>
                <w:color w:val="392C69"/>
              </w:rPr>
              <w:t xml:space="preserve">, от 13.05.2020 </w:t>
            </w:r>
            <w:hyperlink r:id="rId7" w:history="1">
              <w:r>
                <w:rPr>
                  <w:color w:val="0000FF"/>
                </w:rPr>
                <w:t>N 06-р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информации", </w:t>
      </w:r>
      <w:hyperlink r:id="rId9" w:history="1">
        <w:r>
          <w:rPr>
            <w:color w:val="0000FF"/>
          </w:rPr>
          <w:t>пунктом 1.4.2</w:t>
        </w:r>
      </w:hyperlink>
      <w:r>
        <w:t xml:space="preserve"> распоряжения Правительства Тюменской области от 28.06.2010 N 885-рп "О принятии исполнительными органами власти Тюменской области нормативных правовых актов":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1. Ввести в эксплуатацию Региональную единую государственную информационную систему образования.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Региональной единой государственной информационной системе образования согласно приложению к настоящему распоряжению.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3. Определить ГКУ ТО "ЦИТТО" Оператором Региональной единой государственной информационной системы образования.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4. Определить ГАОУ ТО ДПО "ТОГИРРО" Ситуационным центром </w:t>
      </w:r>
      <w:proofErr w:type="gramStart"/>
      <w:r>
        <w:t>мониторинга показателей сферы образования Тюменской области</w:t>
      </w:r>
      <w:proofErr w:type="gramEnd"/>
      <w:r>
        <w:t>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5. Определить ГАУ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ТО</w:t>
      </w:r>
      <w:proofErr w:type="gramEnd"/>
      <w:r>
        <w:t xml:space="preserve"> "Дворец творчества и спорта Пионер" Ситуационным центром внедрения и функционирования подсистемы "Электронное дополнительное образование" в Тюменской области.</w:t>
      </w:r>
    </w:p>
    <w:p w:rsidR="007205DE" w:rsidRDefault="007205D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6</w:t>
        </w:r>
      </w:hyperlink>
      <w:r>
        <w:t>. Определить Департамент информатизации Тюменской области органом, уполномоченным по сопровождению и развитию Региональной единой государственной информационной системы образования.</w:t>
      </w:r>
    </w:p>
    <w:p w:rsidR="007205DE" w:rsidRDefault="007205D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7</w:t>
        </w:r>
      </w:hyperlink>
      <w:r>
        <w:t>. Определить Департамент образования и науки Тюменской области и Департамент физической культуры, спорта и дополнительного образования Тюменской области уполномоченными органами по организационно-методическому обеспечению работы Региональной единой государственной информационной системы образования в части компетенции и формированию предложений по модернизации функционала ее подсистем.</w:t>
      </w:r>
    </w:p>
    <w:p w:rsidR="007205DE" w:rsidRDefault="007205D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Департамента информатизации Тюменской области от 13.05.2020 N 06-р)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jc w:val="right"/>
      </w:pPr>
      <w:r>
        <w:t>Заместитель директора</w:t>
      </w:r>
    </w:p>
    <w:p w:rsidR="007205DE" w:rsidRDefault="007205DE">
      <w:pPr>
        <w:pStyle w:val="ConsPlusNormal"/>
        <w:jc w:val="right"/>
      </w:pPr>
      <w:r>
        <w:t>М.В.РУДЗЕВИЧ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jc w:val="right"/>
        <w:outlineLvl w:val="0"/>
      </w:pPr>
      <w:r>
        <w:lastRenderedPageBreak/>
        <w:t>Приложение</w:t>
      </w:r>
    </w:p>
    <w:p w:rsidR="007205DE" w:rsidRDefault="007205DE">
      <w:pPr>
        <w:pStyle w:val="ConsPlusNormal"/>
        <w:jc w:val="right"/>
      </w:pPr>
      <w:r>
        <w:t>к Распоряжению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Title"/>
        <w:jc w:val="center"/>
      </w:pPr>
      <w:bookmarkStart w:id="0" w:name="P32"/>
      <w:bookmarkEnd w:id="0"/>
      <w:r>
        <w:t>ПОЛОЖЕНИЕ</w:t>
      </w:r>
    </w:p>
    <w:p w:rsidR="007205DE" w:rsidRDefault="007205DE">
      <w:pPr>
        <w:pStyle w:val="ConsPlusTitle"/>
        <w:jc w:val="center"/>
      </w:pPr>
      <w:r>
        <w:t>О РЕГИОНАЛЬНОЙ ЕДИНОЙ ГОСУДАРСТВЕННОЙ</w:t>
      </w:r>
    </w:p>
    <w:p w:rsidR="007205DE" w:rsidRDefault="007205DE">
      <w:pPr>
        <w:pStyle w:val="ConsPlusTitle"/>
        <w:jc w:val="center"/>
      </w:pPr>
      <w:r>
        <w:t>ИНФОРМАЦИОННОЙ СИСТЕМЕ ОБРАЗОВАНИЯ</w:t>
      </w:r>
    </w:p>
    <w:p w:rsidR="007205DE" w:rsidRDefault="007205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05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5DE" w:rsidRDefault="00720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5DE" w:rsidRDefault="007205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информатизации Тюменской области</w:t>
            </w:r>
            <w:proofErr w:type="gramEnd"/>
          </w:p>
          <w:p w:rsidR="007205DE" w:rsidRDefault="00720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13" w:history="1">
              <w:r>
                <w:rPr>
                  <w:color w:val="0000FF"/>
                </w:rPr>
                <w:t>N 08-р</w:t>
              </w:r>
            </w:hyperlink>
            <w:r>
              <w:rPr>
                <w:color w:val="392C69"/>
              </w:rPr>
              <w:t xml:space="preserve">, от 13.05.2020 </w:t>
            </w:r>
            <w:hyperlink r:id="rId14" w:history="1">
              <w:r>
                <w:rPr>
                  <w:color w:val="0000FF"/>
                </w:rPr>
                <w:t>N 06-р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ind w:firstLine="540"/>
        <w:jc w:val="both"/>
      </w:pPr>
      <w:r>
        <w:t>Региональная единая государственная информационная система образования (далее - РЕГИСО, Система) - информационная система, созданная в целях автоматизации процессов деятельности органов и организаций сферы образования, а также для оказания услуг, в том числе в электронном виде.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Система представляет собой совокупность подсистем и модулей подсистем.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Подсистема (модуль Подсистемы) - часть РЕГИСО, которая обеспечивает автоматизацию процессов деятельности органов и организаций определенного типа образования, а также обеспечивает оказание услуг, в том числе в электронном виде.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Участник - исполнительные органы государственной власти Тюменской области, органы местного самоуправления Тюменской области, государственные или муниципальные учреждения Тюменской области, эксплуатирующие Систему, и иные организации, присоединившиеся к Системе на основании соглашения об организации информационного взаимодействия, заключенного с оператором Системы.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Администратор Подсистемы - должностное лицо Участника, уполномоченное на доступ к функционалу соответствующей Подсистемы в целом; должностное лицо Участника, осуществляющее регистрацию Администраторов Участника Подсистемы.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Администратор Участника Подсистемы - должностное лицо Участника, уполномоченное на доступ к функционалу Подсистемы данного Участника в рамках его полномочий.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Пользователь Системы - должностное лицо Участника, законные представители воспитанников, обучающихся, иные лица, доступ к Системе которым предоставлен Администратором Участника Подсистемы.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Title"/>
        <w:jc w:val="center"/>
        <w:outlineLvl w:val="1"/>
      </w:pPr>
      <w:r>
        <w:t>1. Общие положения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ind w:firstLine="540"/>
        <w:jc w:val="both"/>
      </w:pPr>
      <w:r>
        <w:t>1.1. Настоящее Положение определяет цели, задачи, состав, функции Системы и порядок ее использования.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1.2. Система включает в себя совокупность программно-технических средств, обеспечивающих автоматизацию процессов деятельности органов и организаций сферы образования.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Title"/>
        <w:jc w:val="center"/>
        <w:outlineLvl w:val="1"/>
      </w:pPr>
      <w:r>
        <w:t>2. Цель создания, состав, функции и задачи Системы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ind w:firstLine="540"/>
        <w:jc w:val="both"/>
      </w:pPr>
      <w:r>
        <w:t>2.1. Целью Системы является автоматизация процессов деятельности органов и организаций сферы образования, обеспечение оказания услуг, в том числе в электронном виде.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2.2. РЕГИСО включает в себя следующие подсистемы и модули подсистем: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lastRenderedPageBreak/>
        <w:t>1. Подсистема "Электронный детский сад";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2. Подсистема "Электронная школа", включающая модуль "Учет питания";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3. Подсистема "Электронный колледж";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 Подсистема "Электронное дополнительное образование", включающая модуль "Навигатор дополнительного образования Тюменской области", модуль "Региональная база данных талантливых детей и молодежи Тюменской области", модуль "Учет платных услуг";</w:t>
      </w:r>
    </w:p>
    <w:p w:rsidR="007205DE" w:rsidRDefault="007205D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Департамента информатизации Тюменской области от 13.05.2020 N 06-р)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Департамента информатизации Тюменской области от 13.05.2020 N 06-р.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2.3. Основными функциями Системы являются: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единого информационного пространства в сфере образования в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обеспечение оказания услуг в сфере образования, в том числе в электронной форме;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автоматизация ведения электронных баз подсистем;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автоматизация деятельности Участников;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мониторинг показателей в сфере образования;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отраслевой отчетности.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2.4. Задачами Системы является: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сбор, хранение и обработка сведений, вносимых в Систему в рамках деятельности органов и организаций в сфере образования;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оказание государственных и муниципальных услуг (функций), в том числе в электронном виде.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Title"/>
        <w:jc w:val="center"/>
        <w:outlineLvl w:val="1"/>
      </w:pPr>
      <w:r>
        <w:t>3. Участники информационного взаимодействия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ind w:firstLine="540"/>
        <w:jc w:val="both"/>
      </w:pPr>
      <w:r>
        <w:t>3.1. Оператор Системы обеспечивает: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размещение Системы в Центре обработки данных Правительства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эксплуатацию и поддержку работоспособности программно-технических средств, входящих в Систему;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реализацию и контроль мер по защите информации, содержащейся в Системе;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проведение мероприятий, направленных на поддержание Системы в соответствии с требованиями безопасности информации;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подключение к Системе новых Участников;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администрирование Системы;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разработку и публикацию соглашения по эксплуатации системы, а также соглашений об организации информационного взаимодействия, а также правила и регламенты по порядку работы в Системе на сайте Оператора http://citto.ru.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lastRenderedPageBreak/>
        <w:t xml:space="preserve">3.2. Ситуационный центр </w:t>
      </w:r>
      <w:proofErr w:type="gramStart"/>
      <w:r>
        <w:t>мониторинга показателей сферы образования Тюменской области</w:t>
      </w:r>
      <w:proofErr w:type="gramEnd"/>
      <w:r>
        <w:t xml:space="preserve"> обеспечивает: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консультативное сопровождение должностных лиц Участника, в соответствии с регламентом, размещенным на сайте Ситуационного центра http://togirro.ru/;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мониторинг показателей сферы образования Тюменской области;</w:t>
      </w:r>
    </w:p>
    <w:p w:rsidR="007205DE" w:rsidRDefault="007205D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Департамента информатизации Тюменской области от 13.05.2020 N 06-р)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и согласование предложений по развитию, участие в тестировании и приемке новой или доработанной функциональности подсистем "Электронный детский сад", "Электронная школа", "Электронный колледж".</w:t>
      </w:r>
    </w:p>
    <w:p w:rsidR="007205DE" w:rsidRDefault="007205DE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Департамента информатизации Тюменской области от 13.05.2020 N 06-р)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3.3. Ситуационный центр внедрения и функционирования подсистемы "Электронное дополнительное образование" в Тюменской области обеспечивает: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консультативное сопровождение должностных лиц Участников, в соответствии с регламентом, размещенным на сайте Ситуационного центра http://pioner72.ru/; http://rmc.pioner72.ru/;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мониторинг показателей сферы дополнительного образования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организационно-методическое сопровождение подсистемы "Электронное дополнительное образование";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и согласование предложений по развитию, участие в тестировании и приемке новой или доработанной функциональности подсистемы "Электронное дополнительное образование", включающей модули "Навигатор дополнительного образования Тюменской области", "Региональная база данных талантливых детей и молодежи Тюменской области", "Учет платных услуг".</w:t>
      </w:r>
    </w:p>
    <w:p w:rsidR="007205DE" w:rsidRDefault="007205DE">
      <w:pPr>
        <w:pStyle w:val="ConsPlusNormal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Департамента информатизации Тюменской области от 13.05.2020 N 06-р)</w:t>
      </w:r>
    </w:p>
    <w:p w:rsidR="007205DE" w:rsidRDefault="007205DE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3.4</w:t>
        </w:r>
      </w:hyperlink>
      <w:r>
        <w:t>. Орган, уполномоченный за сопровождение и развитие Системы, обеспечивает оказание технического и консультационного сопровождения Пользователей при работе с Подсистемами, а также модернизацию Системы.</w:t>
      </w:r>
    </w:p>
    <w:p w:rsidR="007205DE" w:rsidRDefault="007205DE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3.5</w:t>
        </w:r>
      </w:hyperlink>
      <w:r>
        <w:t>. Органы, уполномоченные за организационно-методическое обеспечение работы системы и формирование предложений по модернизации функционала Подсистем:</w:t>
      </w:r>
    </w:p>
    <w:p w:rsidR="007205DE" w:rsidRDefault="007205DE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3.5.1</w:t>
        </w:r>
      </w:hyperlink>
      <w:r>
        <w:t>. Департамент образования и науки Тюменской области обеспечивает организационно-методологическое сопровождение и формирование предложений по модернизации функционала следующих подсистем: "Электронный детский сад", "Электронная школа", включая модуль "Учет питания", "Электронный колледж", "Портал "Электронное образование";</w:t>
      </w:r>
    </w:p>
    <w:p w:rsidR="007205DE" w:rsidRDefault="007205DE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3.5.2</w:t>
        </w:r>
      </w:hyperlink>
      <w:r>
        <w:t>. Департамент физической культуры, спорта и дополнительного образования Тюменской области обеспечивает организационно-методологическое сопровождение и формирование предложений по модернизации функционала подсистемы "Электронное дополнительное образование", включая модуль "Навигатор дополнительного образования Тюменской области", модуль "Региональная база данных талантливых детей и молодежи Тюменской области", модуль "Учет платных услуг".</w:t>
      </w:r>
    </w:p>
    <w:p w:rsidR="007205DE" w:rsidRDefault="007205DE">
      <w:pPr>
        <w:pStyle w:val="ConsPlusNormal"/>
        <w:jc w:val="both"/>
      </w:pPr>
      <w:r>
        <w:t xml:space="preserve">(пп. 3.5.2 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Департамента информатизации Тюменской области от 13.05.2020 N 06-р)</w:t>
      </w:r>
    </w:p>
    <w:p w:rsidR="007205DE" w:rsidRDefault="007205DE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3.6</w:t>
        </w:r>
      </w:hyperlink>
      <w:r>
        <w:t>. Участник: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осуществляет подключение к Системе на основании соглашения об организации информационного взаимодействия, заключенного с Оператором Системы;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определяет Администратора Участника Подсистемы;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осуществляет работу в Системе в соответствии с правилами и регламентами, разработанными Оператором Системы;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при обработке в Системе персональных данных обеспечивает их достоверность и конфиденциальность, а также соблюдение требований законодательства РФ при обработке персональных данных в информационных системах;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вносит необходимые изменения в должностные регламенты (должностные инструкции) и служебные контракты (трудовые договоры) должностных лиц, доступ к Системе которым предоставлен Администратором Участника Подсистемы.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выполняет требования по обеспечению информационной безопасности, определяемые Оператором Системы.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Title"/>
        <w:jc w:val="center"/>
        <w:outlineLvl w:val="1"/>
      </w:pPr>
      <w:r>
        <w:t>4. Подсистемы Системы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ind w:firstLine="540"/>
        <w:jc w:val="both"/>
      </w:pPr>
      <w:r>
        <w:t>4.1. Электронный детский сад.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Подсистема обеспечивает автоматизацию следующих процессов: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прием заявлений, в том числе в электронном виде, для обеспечения зачисления детей в муниципальные образовательные организации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единой и актуальной базы очередности детей, которые подлежат зачислению в муниципальные образовательные организации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комплектования детей в группы муниципальных образовательных организаций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ведение единого реестра воспитанников, посещающих муниципальные образовательные организации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отчетной документации;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иные процессы.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4.2. Электронная школа.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Подсистема обеспечивает автоматизацию следующих процессов: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прием заявлений в электронном виде для обеспечения зачисления детей в муниципальные образовательные организации, реализующие образовательные программы начального общего, основного общего, среднего общего образования;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личных дел (портфолио) должностных лиц Участника, обучающихся;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ведение учета результатов текущего контроля успеваемости учащегося, промежуточной и итоговой аттестации учащегося;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ведение учета посещаемости и расписания уроков (занятий) учащегося;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lastRenderedPageBreak/>
        <w:t>- ведение учета содержания образовательного процесса с описанием тем уроков (занятий), материала, изученного на уроке (занятии), домашнего задания учащегося, в том числе посредством ведения электронного дневника и журнала в государственных и муниципальных образовательных организациях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отчетной документации;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иные процессы.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4.2.1. Модуль "Учет питания".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Модуль обеспечивает автоматизацию следующих процессов: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ведение перечня блюд, необходимых для формирования комплексов питания обучающихся;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комплексов питания, доступных для выбора законным представителям обучающихся;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- настройка режима питания </w:t>
      </w:r>
      <w:proofErr w:type="gramStart"/>
      <w:r>
        <w:t>обучающихся</w:t>
      </w:r>
      <w:proofErr w:type="gramEnd"/>
      <w:r>
        <w:t>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- заказ комплекса питания законными представителями </w:t>
      </w:r>
      <w:proofErr w:type="gramStart"/>
      <w:r>
        <w:t>обучающихся</w:t>
      </w:r>
      <w:proofErr w:type="gramEnd"/>
      <w:r>
        <w:t>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оплата заказа обучающегося путем безналичного перечисления средств организатору питания;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заявок на питание;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отчетной документации.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4.3. "Электронный колледж".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Подсистема обеспечивает автоматизацию следующих процессов: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личных дел (портфолио) должностных лиц Участника, обучающихся;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ведение журналов теоретических занятий в государственных профессиональных образовательных организациях Тюменской области, реализующих образовательные программы среднего профессионального образования и профессионального обучения;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ведение журналов практических занятий в государственных профессиональных образовательных организациях Тюменской области, реализующих образовательные программы среднего профессионального образования и профессионального обучения;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отчетной документации.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4.4. "Электронное дополнительное образование".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Подсистема обеспечивает автоматизацию следующих процессов: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разработка, согласование и утверждение программ дополнительного образования;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прием заявлений и зачисление детей на программы дополнительного образования, реализуемые, в том числе, в электронном виде:</w:t>
      </w:r>
    </w:p>
    <w:p w:rsidR="007205DE" w:rsidRDefault="007205DE">
      <w:pPr>
        <w:pStyle w:val="ConsPlusNormal"/>
        <w:spacing w:before="220"/>
        <w:ind w:firstLine="540"/>
        <w:jc w:val="both"/>
      </w:pPr>
      <w:bookmarkStart w:id="1" w:name="P146"/>
      <w:bookmarkEnd w:id="1"/>
      <w:r>
        <w:t>а) образовательными организациями, оказывающими услуги дополнительного образования в соответствии с учредительными документами и имеющими лицензию по подвиду "Дополнительное образование детей и взрослых";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lastRenderedPageBreak/>
        <w:t>б) индивидуальными предпринимателями, имеющими лицензию по подвиду "Дополнительное образование детей и взрослых";</w:t>
      </w:r>
    </w:p>
    <w:p w:rsidR="007205DE" w:rsidRDefault="007205DE">
      <w:pPr>
        <w:pStyle w:val="ConsPlusNormal"/>
        <w:spacing w:before="220"/>
        <w:ind w:firstLine="540"/>
        <w:jc w:val="both"/>
      </w:pPr>
      <w:bookmarkStart w:id="2" w:name="P148"/>
      <w:bookmarkEnd w:id="2"/>
      <w:r>
        <w:t>в) индивидуальными предпринимателями, осуществляющими образовательную деятельность по дополнительным общеобразовательным программам непосредственно;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- учет посещаемости детей, занимающихся по программам дополнительного образования, реализуемым лицами, указанными в </w:t>
      </w:r>
      <w:hyperlink w:anchor="P14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8" w:history="1">
        <w:r>
          <w:rPr>
            <w:color w:val="0000FF"/>
          </w:rPr>
          <w:t>"в" пункта 4.4</w:t>
        </w:r>
      </w:hyperlink>
      <w:r>
        <w:t xml:space="preserve"> настоящего Положения;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учет результатов текущего контроля успеваемости, промежуточной и итоговой аттестации учащегося;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учет педагогической нагрузки сотрудников образовательной организации;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приказов о зачислении/отчислении детей на программы дополнительного образования;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автоматическое формирование утвержденных отчетных форм в сфере дополнительного образования;</w:t>
      </w:r>
    </w:p>
    <w:p w:rsidR="007205DE" w:rsidRDefault="007205DE">
      <w:pPr>
        <w:pStyle w:val="ConsPlusNormal"/>
        <w:spacing w:before="220"/>
        <w:ind w:firstLine="540"/>
        <w:jc w:val="both"/>
      </w:pPr>
      <w:proofErr w:type="gramStart"/>
      <w:r>
        <w:t>- реализация системы персонифицированного финансирования дополнительного образования детей в Тюменской области, в том числе расчет нормативной стоимости программы, в рамках системы персонифицированного финансирования дополнительного образования детей в Тюменской области, проведение добровольной сертификации образовательных программ, прием заявлений родителей (законных представителей) детей о включении в систему персонифицированного финансирования дополнительного образования детей в Тюменской области, предоставление сертификата персонифицированного финансирования дополнительного образования детей в Тюменской</w:t>
      </w:r>
      <w:proofErr w:type="gramEnd"/>
      <w:r>
        <w:t xml:space="preserve"> области, ведение </w:t>
      </w:r>
      <w:proofErr w:type="gramStart"/>
      <w:r>
        <w:t>учета использования средств сертификатов дополнительного образования</w:t>
      </w:r>
      <w:proofErr w:type="gramEnd"/>
      <w:r>
        <w:t xml:space="preserve"> и иных процессов;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иные процессы.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4.4.1. Модуль "Навигатор дополнительного образования Тюменской области".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Модуль обеспечивает автоматизацию следующих процессов: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- публикация информации о лицах, реализующих программы дополнительного образования, указанных в </w:t>
      </w:r>
      <w:hyperlink w:anchor="P14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8" w:history="1">
        <w:r>
          <w:rPr>
            <w:color w:val="0000FF"/>
          </w:rPr>
          <w:t>"в" пункта 4.4</w:t>
        </w:r>
      </w:hyperlink>
      <w:r>
        <w:t xml:space="preserve"> настоящего Положения;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публикация информации о дополнительных общеобразовательных программах с возможностью выбора и записи;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- публикация информации о мероприятиях, проводимых лицами, реализующими программы дополнительного образования, указанными в </w:t>
      </w:r>
      <w:hyperlink w:anchor="P14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8" w:history="1">
        <w:r>
          <w:rPr>
            <w:color w:val="0000FF"/>
          </w:rPr>
          <w:t>"в" пункта 4.4</w:t>
        </w:r>
      </w:hyperlink>
      <w:r>
        <w:t xml:space="preserve"> настоящего Положения;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подача заявлений на зачисление на программы дополнительного образования;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- оплата услуг лиц, реализующих программы дополнительного образования, указанных в </w:t>
      </w:r>
      <w:hyperlink w:anchor="P14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8" w:history="1">
        <w:r>
          <w:rPr>
            <w:color w:val="0000FF"/>
          </w:rPr>
          <w:t>"в" пункта 4.4</w:t>
        </w:r>
      </w:hyperlink>
      <w:r>
        <w:t xml:space="preserve"> настоящего Положения, в электронном виде;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иные процессы.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4.4.2. Модуль "Региональная база данных талантливых детей и молодежи Тюменской области"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Модуль обеспечивает автоматизацию следующих процессов: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lastRenderedPageBreak/>
        <w:t>- формирование перечня мероприятий, по итогам которых информация о победителях вносится в Региональную базу данных;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и ведение Региональной базы данных талантливых детей и молодежи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учет мер поддержки и поощрения талантливых детей и молодежи;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отчетности;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иные процессы.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4.4.3. Модуль "Учет платных услуг":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актов оказанных услуг по договору, направление актов для ознакомления через личный кабинет в Навигаторе услуг дополнительного образования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- расчет (перерасчет) стоимости услуги в отчетном периоде (в т.ч. с учетом </w:t>
      </w:r>
      <w:proofErr w:type="gramStart"/>
      <w:r>
        <w:t>средств сертификатов персонифицированного финансирования дополнительного образования детей</w:t>
      </w:r>
      <w:proofErr w:type="gramEnd"/>
      <w:r>
        <w:t xml:space="preserve"> в Тюменской области, прав на льготы и т.д.), формирование и выгрузка реестров начислений и платежей в необходимом формате для интеграции с программами бухгалтерского учета;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формирование реестра счетов на оплату образовательных услуг, в том числе с использованием сертификатов персонифицированного финансирования дополнительного образования детей в Тюменской области;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учет поступления денежных средств по оплате образовательных услуг;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контроль поступления своевременной оплаты в соответствии с актами оказанных услуг по договору;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>- иные процессы.</w:t>
      </w:r>
    </w:p>
    <w:p w:rsidR="007205DE" w:rsidRDefault="007205DE">
      <w:pPr>
        <w:pStyle w:val="ConsPlusNormal"/>
        <w:jc w:val="both"/>
      </w:pPr>
      <w:r>
        <w:t xml:space="preserve">(п. 4.4 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Департамента информатизации Тюменской области от 13.05.2020 N 06-р)</w:t>
      </w:r>
    </w:p>
    <w:p w:rsidR="007205DE" w:rsidRDefault="007205DE">
      <w:pPr>
        <w:pStyle w:val="ConsPlusNormal"/>
        <w:spacing w:before="220"/>
        <w:ind w:firstLine="540"/>
        <w:jc w:val="both"/>
      </w:pPr>
      <w:r>
        <w:t xml:space="preserve">4.5. Утратил силу. - </w:t>
      </w:r>
      <w:hyperlink r:id="rId27" w:history="1">
        <w:r>
          <w:rPr>
            <w:color w:val="0000FF"/>
          </w:rPr>
          <w:t>Распоряжение</w:t>
        </w:r>
      </w:hyperlink>
      <w:r>
        <w:t xml:space="preserve"> Департамента информатизации Тюменской области от 13.05.2020 N 06-р.</w:t>
      </w: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jc w:val="both"/>
      </w:pPr>
    </w:p>
    <w:p w:rsidR="007205DE" w:rsidRDefault="007205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E9E" w:rsidRDefault="00482E9E">
      <w:bookmarkStart w:id="3" w:name="_GoBack"/>
      <w:bookmarkEnd w:id="3"/>
    </w:p>
    <w:sectPr w:rsidR="00482E9E" w:rsidSect="0097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DE"/>
    <w:rsid w:val="00482E9E"/>
    <w:rsid w:val="007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90D49640B3F1AFFF811CD0F4A5034C546AFCFCCF39E92BA3E641966D09059A331D0086689F647682B0B515FDE7557C3810D11D07BD5D1h0r3L" TargetMode="External"/><Relationship Id="rId13" Type="http://schemas.openxmlformats.org/officeDocument/2006/relationships/hyperlink" Target="consultantplus://offline/ref=80A90D49640B3F1AFFF80FC019260E3BC048F7C2CBF29CC1E76E624E3980960CE371D65D25CDFA4761205F0119802C0783CA0011CA67D5D21CF0196FhDr9L" TargetMode="External"/><Relationship Id="rId18" Type="http://schemas.openxmlformats.org/officeDocument/2006/relationships/hyperlink" Target="consultantplus://offline/ref=80A90D49640B3F1AFFF80FC019260E3BC048F7C2CBF590C0E56B624E3980960CE371D65D25CDFA4761205F011B802C0783CA0011CA67D5D21CF0196FhDr9L" TargetMode="External"/><Relationship Id="rId26" Type="http://schemas.openxmlformats.org/officeDocument/2006/relationships/hyperlink" Target="consultantplus://offline/ref=80A90D49640B3F1AFFF80FC019260E3BC048F7C2CBF590C0E56B624E3980960CE371D65D25CDFA4761205F021B802C0783CA0011CA67D5D21CF0196FhDr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A90D49640B3F1AFFF80FC019260E3BC048F7C2CBF590C0E56B624E3980960CE371D65D25CDFA4761205F011C802C0783CA0011CA67D5D21CF0196FhDr9L" TargetMode="External"/><Relationship Id="rId7" Type="http://schemas.openxmlformats.org/officeDocument/2006/relationships/hyperlink" Target="consultantplus://offline/ref=80A90D49640B3F1AFFF80FC019260E3BC048F7C2CBF590C0E56B624E3980960CE371D65D25CDFA4761205F001F802C0783CA0011CA67D5D21CF0196FhDr9L" TargetMode="External"/><Relationship Id="rId12" Type="http://schemas.openxmlformats.org/officeDocument/2006/relationships/hyperlink" Target="consultantplus://offline/ref=80A90D49640B3F1AFFF80FC019260E3BC048F7C2CBF590C0E56B624E3980960CE371D65D25CDFA4761205F001D802C0783CA0011CA67D5D21CF0196FhDr9L" TargetMode="External"/><Relationship Id="rId17" Type="http://schemas.openxmlformats.org/officeDocument/2006/relationships/hyperlink" Target="consultantplus://offline/ref=80A90D49640B3F1AFFF80FC019260E3BC048F7C2CBF590C0E56B624E3980960CE371D65D25CDFA4761205F011B802C0783CA0011CA67D5D21CF0196FhDr9L" TargetMode="External"/><Relationship Id="rId25" Type="http://schemas.openxmlformats.org/officeDocument/2006/relationships/hyperlink" Target="consultantplus://offline/ref=80A90D49640B3F1AFFF80FC019260E3BC048F7C2CBF590C0E56B624E3980960CE371D65D25CDFA4761205F011C802C0783CA0011CA67D5D21CF0196FhDr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A90D49640B3F1AFFF80FC019260E3BC048F7C2CBF590C0E56B624E3980960CE371D65D25CDFA4761205F0012802C0783CA0011CA67D5D21CF0196FhDr9L" TargetMode="External"/><Relationship Id="rId20" Type="http://schemas.openxmlformats.org/officeDocument/2006/relationships/hyperlink" Target="consultantplus://offline/ref=80A90D49640B3F1AFFF80FC019260E3BC048F7C2CBF590C0E56B624E3980960CE371D65D25CDFA4761205F011C802C0783CA0011CA67D5D21CF0196FhDr9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90D49640B3F1AFFF80FC019260E3BC048F7C2CBF29CC1E76E624E3980960CE371D65D25CDFA4761205F011A802C0783CA0011CA67D5D21CF0196FhDr9L" TargetMode="External"/><Relationship Id="rId11" Type="http://schemas.openxmlformats.org/officeDocument/2006/relationships/hyperlink" Target="consultantplus://offline/ref=80A90D49640B3F1AFFF80FC019260E3BC048F7C2CBF590C0E56B624E3980960CE371D65D25CDFA4761205F001E802C0783CA0011CA67D5D21CF0196FhDr9L" TargetMode="External"/><Relationship Id="rId24" Type="http://schemas.openxmlformats.org/officeDocument/2006/relationships/hyperlink" Target="consultantplus://offline/ref=80A90D49640B3F1AFFF80FC019260E3BC048F7C2CBF590C0E56B624E3980960CE371D65D25CDFA4761205F0113802C0783CA0011CA67D5D21CF0196FhDr9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A90D49640B3F1AFFF80FC019260E3BC048F7C2CBF590C0E56B624E3980960CE371D65D25CDFA4761205F0013802C0783CA0011CA67D5D21CF0196FhDr9L" TargetMode="External"/><Relationship Id="rId23" Type="http://schemas.openxmlformats.org/officeDocument/2006/relationships/hyperlink" Target="consultantplus://offline/ref=80A90D49640B3F1AFFF80FC019260E3BC048F7C2CBF590C0E56B624E3980960CE371D65D25CDFA4761205F011C802C0783CA0011CA67D5D21CF0196FhDr9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0A90D49640B3F1AFFF80FC019260E3BC048F7C2CBF590C0E56B624E3980960CE371D65D25CDFA4761205F001E802C0783CA0011CA67D5D21CF0196FhDr9L" TargetMode="External"/><Relationship Id="rId19" Type="http://schemas.openxmlformats.org/officeDocument/2006/relationships/hyperlink" Target="consultantplus://offline/ref=80A90D49640B3F1AFFF80FC019260E3BC048F7C2CBF590C0E56B624E3980960CE371D65D25CDFA4761205F0119802C0783CA0011CA67D5D21CF0196FhDr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A90D49640B3F1AFFF80FC019260E3BC048F7C2CBF59DC4E569624E3980960CE371D65D25CDFA4761205F071C802C0783CA0011CA67D5D21CF0196FhDr9L" TargetMode="External"/><Relationship Id="rId14" Type="http://schemas.openxmlformats.org/officeDocument/2006/relationships/hyperlink" Target="consultantplus://offline/ref=80A90D49640B3F1AFFF80FC019260E3BC048F7C2CBF590C0E56B624E3980960CE371D65D25CDFA4761205F001C802C0783CA0011CA67D5D21CF0196FhDr9L" TargetMode="External"/><Relationship Id="rId22" Type="http://schemas.openxmlformats.org/officeDocument/2006/relationships/hyperlink" Target="consultantplus://offline/ref=80A90D49640B3F1AFFF80FC019260E3BC048F7C2CBF590C0E56B624E3980960CE371D65D25CDFA4761205F011C802C0783CA0011CA67D5D21CF0196FhDr9L" TargetMode="External"/><Relationship Id="rId27" Type="http://schemas.openxmlformats.org/officeDocument/2006/relationships/hyperlink" Target="consultantplus://offline/ref=80A90D49640B3F1AFFF80FC019260E3BC048F7C2CBF590C0E56B624E3980960CE371D65D25CDFA4761205F051C802C0783CA0011CA67D5D21CF0196FhDr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2021-01-14T11:43:00Z</dcterms:created>
  <dcterms:modified xsi:type="dcterms:W3CDTF">2021-01-14T11:43:00Z</dcterms:modified>
</cp:coreProperties>
</file>