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B" w:rsidRDefault="00BC6A0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6A0B" w:rsidRDefault="00BC6A0B">
      <w:pPr>
        <w:pStyle w:val="ConsPlusNormal"/>
        <w:jc w:val="both"/>
        <w:outlineLvl w:val="0"/>
      </w:pPr>
    </w:p>
    <w:p w:rsidR="00BC6A0B" w:rsidRDefault="00BC6A0B">
      <w:pPr>
        <w:pStyle w:val="ConsPlusTitle"/>
        <w:jc w:val="center"/>
        <w:outlineLvl w:val="0"/>
      </w:pPr>
      <w:r>
        <w:t>АДМИНИСТРАЦИЯ ГОРОДА ТЮМЕНИ</w:t>
      </w:r>
    </w:p>
    <w:p w:rsidR="00BC6A0B" w:rsidRDefault="00BC6A0B">
      <w:pPr>
        <w:pStyle w:val="ConsPlusTitle"/>
        <w:jc w:val="center"/>
      </w:pPr>
    </w:p>
    <w:p w:rsidR="00BC6A0B" w:rsidRDefault="00BC6A0B">
      <w:pPr>
        <w:pStyle w:val="ConsPlusTitle"/>
        <w:jc w:val="center"/>
      </w:pPr>
      <w:r>
        <w:t>ПОСТАНОВЛЕНИЕ</w:t>
      </w:r>
    </w:p>
    <w:p w:rsidR="00BC6A0B" w:rsidRDefault="00BC6A0B">
      <w:pPr>
        <w:pStyle w:val="ConsPlusTitle"/>
        <w:jc w:val="center"/>
      </w:pPr>
      <w:r>
        <w:t>от 28 декабря 2011 г. N 141-пк</w:t>
      </w:r>
    </w:p>
    <w:p w:rsidR="00BC6A0B" w:rsidRDefault="00BC6A0B">
      <w:pPr>
        <w:pStyle w:val="ConsPlusTitle"/>
        <w:jc w:val="center"/>
      </w:pPr>
    </w:p>
    <w:p w:rsidR="00BC6A0B" w:rsidRDefault="00BC6A0B">
      <w:pPr>
        <w:pStyle w:val="ConsPlusTitle"/>
        <w:jc w:val="center"/>
      </w:pPr>
      <w:r>
        <w:t xml:space="preserve">О РАЗМЕРЕ ВРЕДА, ПРИЧИНЯЕМОГО </w:t>
      </w:r>
      <w:proofErr w:type="gramStart"/>
      <w:r>
        <w:t>ТЯЖЕЛОВЕСНЫМИ</w:t>
      </w:r>
      <w:proofErr w:type="gramEnd"/>
      <w:r>
        <w:t xml:space="preserve"> ТРАНСПОРТНЫМИ</w:t>
      </w:r>
    </w:p>
    <w:p w:rsidR="00BC6A0B" w:rsidRDefault="00BC6A0B">
      <w:pPr>
        <w:pStyle w:val="ConsPlusTitle"/>
        <w:jc w:val="center"/>
      </w:pPr>
      <w:r>
        <w:t>СРЕДСТВАМИ, ПРИ ДВИЖЕНИИ ПО АВТОМОБИЛЬНЫМ ДОРОГАМ ОБЩЕГО</w:t>
      </w:r>
    </w:p>
    <w:p w:rsidR="00BC6A0B" w:rsidRDefault="00BC6A0B">
      <w:pPr>
        <w:pStyle w:val="ConsPlusTitle"/>
        <w:jc w:val="center"/>
      </w:pPr>
      <w:r>
        <w:t>ПОЛЬЗОВАНИЯ МЕСТНОГО ЗНАЧЕНИЯ ГОРОДА ТЮМЕНИ</w:t>
      </w:r>
    </w:p>
    <w:p w:rsidR="00BC6A0B" w:rsidRDefault="00BC6A0B">
      <w:pPr>
        <w:pStyle w:val="ConsPlusNormal"/>
        <w:jc w:val="center"/>
      </w:pPr>
    </w:p>
    <w:p w:rsidR="00BC6A0B" w:rsidRDefault="00BC6A0B">
      <w:pPr>
        <w:pStyle w:val="ConsPlusNormal"/>
        <w:jc w:val="center"/>
      </w:pPr>
      <w:r>
        <w:t>Список изменяющих документов</w:t>
      </w:r>
    </w:p>
    <w:p w:rsidR="00BC6A0B" w:rsidRDefault="00BC6A0B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28.12.2015 N 334-пк)</w:t>
      </w:r>
    </w:p>
    <w:p w:rsidR="00BC6A0B" w:rsidRDefault="00BC6A0B">
      <w:pPr>
        <w:pStyle w:val="ConsPlusNormal"/>
        <w:jc w:val="center"/>
      </w:pPr>
    </w:p>
    <w:p w:rsidR="00BC6A0B" w:rsidRDefault="00BC6A0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</w:t>
      </w:r>
      <w:proofErr w:type="gramEnd"/>
      <w:r>
        <w:t xml:space="preserve"> тяжеловесных грузов по автомобильным дорогам Российской Федерации", руководствуясь </w:t>
      </w:r>
      <w:hyperlink r:id="rId10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BC6A0B" w:rsidRDefault="00BC6A0B">
      <w:pPr>
        <w:pStyle w:val="ConsPlusNormal"/>
        <w:ind w:firstLine="540"/>
        <w:jc w:val="both"/>
      </w:pPr>
      <w:r>
        <w:t xml:space="preserve">1. Определить размер вреда, причиняемого тяжеловесными транспортными средствами, при движении по автомобильным дорогам общего пользования местного значения города Тюмени в соответствии с </w:t>
      </w:r>
      <w:hyperlink w:anchor="P31" w:history="1">
        <w:r>
          <w:rPr>
            <w:color w:val="0000FF"/>
          </w:rPr>
          <w:t>показателями</w:t>
        </w:r>
      </w:hyperlink>
      <w:r>
        <w:t xml:space="preserve"> согласно приложению к настоящему постановлению.</w:t>
      </w:r>
    </w:p>
    <w:p w:rsidR="00BC6A0B" w:rsidRDefault="00BC6A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28.12.2015 N 334-пк)</w:t>
      </w:r>
    </w:p>
    <w:p w:rsidR="00BC6A0B" w:rsidRDefault="00BC6A0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Департаменту дорожной инфраструктуры и транспорта Администрации города Тюмени осуществлять расчеты, начисления и взимание платы в счет возмещения вреда, а также возврат указанных средств в соответствии с порядком, установленным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возмещения вреда, причиняемого транспортными средствами, осуществляющими перевозки тяжеловесных грузов, утвержденными Постановлением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</w:t>
      </w:r>
      <w:proofErr w:type="gramEnd"/>
      <w:r>
        <w:t xml:space="preserve"> Российской Федерации".</w:t>
      </w:r>
    </w:p>
    <w:p w:rsidR="00BC6A0B" w:rsidRDefault="00BC6A0B">
      <w:pPr>
        <w:pStyle w:val="ConsPlusNormal"/>
        <w:ind w:firstLine="540"/>
        <w:jc w:val="both"/>
      </w:pPr>
      <w:r>
        <w:t xml:space="preserve">3.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Тюмени.</w:t>
      </w:r>
    </w:p>
    <w:p w:rsidR="00BC6A0B" w:rsidRDefault="00BC6A0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Тюмени, курирующего вопросы дорожной деятельности и организации транспортного обслуживания.</w:t>
      </w: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jc w:val="right"/>
      </w:pPr>
      <w:r>
        <w:t>Глава Администрации города</w:t>
      </w:r>
    </w:p>
    <w:p w:rsidR="00BC6A0B" w:rsidRDefault="00BC6A0B">
      <w:pPr>
        <w:pStyle w:val="ConsPlusNormal"/>
        <w:jc w:val="right"/>
      </w:pPr>
      <w:r>
        <w:t>А.В.МООР</w:t>
      </w: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jc w:val="right"/>
        <w:outlineLvl w:val="0"/>
      </w:pPr>
      <w:r>
        <w:t>Приложение</w:t>
      </w:r>
    </w:p>
    <w:p w:rsidR="00BC6A0B" w:rsidRDefault="00BC6A0B">
      <w:pPr>
        <w:pStyle w:val="ConsPlusNormal"/>
        <w:jc w:val="right"/>
      </w:pPr>
      <w:r>
        <w:t>к постановлению</w:t>
      </w:r>
    </w:p>
    <w:p w:rsidR="00BC6A0B" w:rsidRDefault="00BC6A0B">
      <w:pPr>
        <w:pStyle w:val="ConsPlusNormal"/>
        <w:jc w:val="right"/>
      </w:pPr>
      <w:r>
        <w:t>от 28.12.2011 N 141-пк</w:t>
      </w: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Title"/>
        <w:jc w:val="center"/>
      </w:pPr>
      <w:bookmarkStart w:id="0" w:name="P31"/>
      <w:bookmarkEnd w:id="0"/>
      <w:r>
        <w:t>ПОКАЗАТЕЛИ</w:t>
      </w:r>
    </w:p>
    <w:p w:rsidR="00BC6A0B" w:rsidRDefault="00BC6A0B">
      <w:pPr>
        <w:pStyle w:val="ConsPlusTitle"/>
        <w:jc w:val="center"/>
      </w:pPr>
      <w:r>
        <w:lastRenderedPageBreak/>
        <w:t xml:space="preserve">РАЗМЕРА ВРЕДА, ПРИЧИНЯЕМОГО </w:t>
      </w:r>
      <w:proofErr w:type="gramStart"/>
      <w:r>
        <w:t>ТЯЖЕЛОВЕСНЫМИ</w:t>
      </w:r>
      <w:proofErr w:type="gramEnd"/>
      <w:r>
        <w:t xml:space="preserve"> ТРАНСПОРТНЫМИ</w:t>
      </w:r>
    </w:p>
    <w:p w:rsidR="00BC6A0B" w:rsidRDefault="00BC6A0B">
      <w:pPr>
        <w:pStyle w:val="ConsPlusTitle"/>
        <w:jc w:val="center"/>
      </w:pPr>
      <w:r>
        <w:t>СРЕДСТВАМИ, ПРИ ДВИЖЕНИИ ПО АВТОМОБИЛЬНЫМ ДОРОГАМ ОБЩЕГО</w:t>
      </w:r>
    </w:p>
    <w:p w:rsidR="00BC6A0B" w:rsidRDefault="00BC6A0B">
      <w:pPr>
        <w:pStyle w:val="ConsPlusTitle"/>
        <w:jc w:val="center"/>
      </w:pPr>
      <w:r>
        <w:t>ПОЛЬЗОВАНИЯ МЕСТНОГО ЗНАЧЕНИЯ ГОРОДА ТЮМЕНИ</w:t>
      </w:r>
    </w:p>
    <w:p w:rsidR="00BC6A0B" w:rsidRDefault="00BC6A0B">
      <w:pPr>
        <w:pStyle w:val="ConsPlusNormal"/>
        <w:jc w:val="center"/>
      </w:pPr>
    </w:p>
    <w:p w:rsidR="00BC6A0B" w:rsidRDefault="00BC6A0B">
      <w:pPr>
        <w:pStyle w:val="ConsPlusNormal"/>
        <w:jc w:val="center"/>
      </w:pPr>
      <w:r>
        <w:t>Список изменяющих документов</w:t>
      </w:r>
    </w:p>
    <w:p w:rsidR="00BC6A0B" w:rsidRDefault="00BC6A0B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28.12.2015 N 334-пк)</w:t>
      </w:r>
    </w:p>
    <w:p w:rsidR="00BC6A0B" w:rsidRDefault="00BC6A0B">
      <w:pPr>
        <w:pStyle w:val="ConsPlusNormal"/>
        <w:jc w:val="center"/>
      </w:pPr>
    </w:p>
    <w:p w:rsidR="00BC6A0B" w:rsidRDefault="00BC6A0B">
      <w:pPr>
        <w:sectPr w:rsidR="00BC6A0B" w:rsidSect="004D6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6A0B" w:rsidRDefault="00BC6A0B">
      <w:pPr>
        <w:pStyle w:val="ConsPlusNormal"/>
        <w:jc w:val="center"/>
        <w:outlineLvl w:val="1"/>
      </w:pPr>
      <w:r>
        <w:lastRenderedPageBreak/>
        <w:t>1. Размер вреда при превышении значения</w:t>
      </w:r>
    </w:p>
    <w:p w:rsidR="00BC6A0B" w:rsidRDefault="00BC6A0B">
      <w:pPr>
        <w:pStyle w:val="ConsPlusNormal"/>
        <w:jc w:val="center"/>
      </w:pPr>
      <w:r>
        <w:t>предельно допустимой массы транспортного средства</w:t>
      </w:r>
    </w:p>
    <w:p w:rsidR="00BC6A0B" w:rsidRDefault="00BC6A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762"/>
      </w:tblGrid>
      <w:tr w:rsidR="00BC6A0B">
        <w:tc>
          <w:tcPr>
            <w:tcW w:w="4876" w:type="dxa"/>
          </w:tcPr>
          <w:p w:rsidR="00BC6A0B" w:rsidRDefault="00BC6A0B">
            <w:pPr>
              <w:pStyle w:val="ConsPlusNormal"/>
              <w:jc w:val="center"/>
            </w:pPr>
            <w:r>
              <w:t>Превышение предельно допустимой массы транспортного средства (тонн)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center"/>
            </w:pPr>
            <w:r>
              <w:t>Размер вреда (рублей на 100 км)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До 5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240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5 до 7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285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7 до 10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395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10 до 15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550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15 до 20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760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20 до 25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1035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25 до 30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1365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30 до 35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1730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35 до 40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2155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40 до 45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2670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45 до 50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3255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50 до 55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3835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55 до 60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4495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60 до 65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5215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65 до 70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>5990</w:t>
            </w:r>
          </w:p>
        </w:tc>
      </w:tr>
      <w:tr w:rsidR="00BC6A0B">
        <w:tc>
          <w:tcPr>
            <w:tcW w:w="4876" w:type="dxa"/>
          </w:tcPr>
          <w:p w:rsidR="00BC6A0B" w:rsidRDefault="00BC6A0B">
            <w:pPr>
              <w:pStyle w:val="ConsPlusNormal"/>
            </w:pPr>
            <w:r>
              <w:t>Свыше 70</w:t>
            </w:r>
          </w:p>
        </w:tc>
        <w:tc>
          <w:tcPr>
            <w:tcW w:w="4762" w:type="dxa"/>
          </w:tcPr>
          <w:p w:rsidR="00BC6A0B" w:rsidRDefault="00BC6A0B">
            <w:pPr>
              <w:pStyle w:val="ConsPlusNormal"/>
              <w:jc w:val="right"/>
            </w:pPr>
            <w:r>
              <w:t xml:space="preserve">по отдельному расчету </w:t>
            </w:r>
            <w:hyperlink w:anchor="P7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ind w:firstLine="540"/>
        <w:jc w:val="both"/>
      </w:pPr>
      <w:r>
        <w:t>--------------------------------</w:t>
      </w:r>
    </w:p>
    <w:p w:rsidR="00BC6A0B" w:rsidRDefault="00BC6A0B">
      <w:pPr>
        <w:pStyle w:val="ConsPlusNormal"/>
        <w:ind w:firstLine="540"/>
        <w:jc w:val="both"/>
      </w:pPr>
      <w:bookmarkStart w:id="1" w:name="P78"/>
      <w:bookmarkEnd w:id="1"/>
      <w:r>
        <w:t xml:space="preserve">&lt;*&gt;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значения предельно допустимой массы транспортного средства.</w:t>
      </w: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jc w:val="center"/>
        <w:outlineLvl w:val="1"/>
      </w:pPr>
      <w:r>
        <w:t>2. Размер вреда при превышении значений предельно допустимых</w:t>
      </w:r>
    </w:p>
    <w:p w:rsidR="00BC6A0B" w:rsidRDefault="00BC6A0B">
      <w:pPr>
        <w:pStyle w:val="ConsPlusNormal"/>
        <w:jc w:val="center"/>
      </w:pPr>
      <w:r>
        <w:t>осевых нагрузок на каждую ось транспортного средства</w:t>
      </w:r>
    </w:p>
    <w:p w:rsidR="00BC6A0B" w:rsidRDefault="00BC6A0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2970"/>
        <w:gridCol w:w="2970"/>
        <w:gridCol w:w="2805"/>
      </w:tblGrid>
      <w:tr w:rsidR="00BC6A0B">
        <w:tc>
          <w:tcPr>
            <w:tcW w:w="2665" w:type="dxa"/>
          </w:tcPr>
          <w:p w:rsidR="00BC6A0B" w:rsidRDefault="00BC6A0B">
            <w:pPr>
              <w:pStyle w:val="ConsPlusNormal"/>
              <w:jc w:val="center"/>
            </w:pPr>
            <w: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Размер вреда для транспортных средств, не оборудованных пневматической или эквивалентной ей подвеской (рублей на 100 км)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Размер вреда для транспортных средств, оборудованных пневматической или эквивалентной ей подвеской (рублей на 100 км)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До 10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5260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10 до 20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7710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20 до 30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10960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30 до 40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15190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40 до 50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4105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21260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50 до 60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5215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4430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27330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60 до 70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6355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5405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35090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70 до 80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7545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6431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43785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80 до 90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8775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7461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53545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90 до 100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10055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8580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64380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100 до 110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11375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9695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76280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lastRenderedPageBreak/>
              <w:t>Свыше 110 до 120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12740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10858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89245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120 до 130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14155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12053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103285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130 до 140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15610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13258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118390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140 до 150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17115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14584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134565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150 до 160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18660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15896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151805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160 до 170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20250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17327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170115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170 до 180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21890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18713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189495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180 до 190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23570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20210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209945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190 до 200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25300</w:t>
            </w:r>
          </w:p>
        </w:tc>
        <w:tc>
          <w:tcPr>
            <w:tcW w:w="2970" w:type="dxa"/>
          </w:tcPr>
          <w:p w:rsidR="00BC6A0B" w:rsidRDefault="00BC6A0B">
            <w:pPr>
              <w:pStyle w:val="ConsPlusNormal"/>
              <w:jc w:val="center"/>
            </w:pPr>
            <w:r>
              <w:t>21625</w:t>
            </w:r>
          </w:p>
        </w:tc>
        <w:tc>
          <w:tcPr>
            <w:tcW w:w="2805" w:type="dxa"/>
          </w:tcPr>
          <w:p w:rsidR="00BC6A0B" w:rsidRDefault="00BC6A0B">
            <w:pPr>
              <w:pStyle w:val="ConsPlusNormal"/>
              <w:jc w:val="center"/>
            </w:pPr>
            <w:r>
              <w:t>231460</w:t>
            </w:r>
          </w:p>
        </w:tc>
      </w:tr>
      <w:tr w:rsidR="00BC6A0B">
        <w:tc>
          <w:tcPr>
            <w:tcW w:w="2665" w:type="dxa"/>
          </w:tcPr>
          <w:p w:rsidR="00BC6A0B" w:rsidRDefault="00BC6A0B">
            <w:pPr>
              <w:pStyle w:val="ConsPlusNormal"/>
            </w:pPr>
            <w:r>
              <w:t>Свыше 200</w:t>
            </w:r>
          </w:p>
        </w:tc>
        <w:tc>
          <w:tcPr>
            <w:tcW w:w="8745" w:type="dxa"/>
            <w:gridSpan w:val="3"/>
          </w:tcPr>
          <w:p w:rsidR="00BC6A0B" w:rsidRDefault="00BC6A0B">
            <w:pPr>
              <w:pStyle w:val="ConsPlusNormal"/>
              <w:jc w:val="center"/>
            </w:pPr>
            <w:r>
              <w:t xml:space="preserve">по отдельному расчету </w:t>
            </w:r>
            <w:hyperlink w:anchor="P171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ind w:firstLine="540"/>
        <w:jc w:val="both"/>
      </w:pPr>
      <w:r>
        <w:t>--------------------------------</w:t>
      </w:r>
    </w:p>
    <w:p w:rsidR="00BC6A0B" w:rsidRDefault="00BC6A0B">
      <w:pPr>
        <w:pStyle w:val="ConsPlusNormal"/>
        <w:ind w:firstLine="540"/>
        <w:jc w:val="both"/>
      </w:pPr>
      <w:bookmarkStart w:id="2" w:name="P171"/>
      <w:bookmarkEnd w:id="2"/>
      <w:r>
        <w:t xml:space="preserve">&lt;*&gt; Расчет размера вреда осуществляется с применением </w:t>
      </w:r>
      <w:proofErr w:type="gramStart"/>
      <w:r>
        <w:t>метода математической экстраполяции значений размера вреда</w:t>
      </w:r>
      <w:proofErr w:type="gramEnd"/>
      <w:r>
        <w:t xml:space="preserve"> при превышении значений предельно допустимых осевых нагрузок на каждую ось транспортного средства.</w:t>
      </w: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jc w:val="both"/>
      </w:pPr>
    </w:p>
    <w:p w:rsidR="00BC6A0B" w:rsidRDefault="00BC6A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6DD" w:rsidRDefault="007546DD">
      <w:bookmarkStart w:id="3" w:name="_GoBack"/>
      <w:bookmarkEnd w:id="3"/>
    </w:p>
    <w:sectPr w:rsidR="007546DD" w:rsidSect="005028A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B"/>
    <w:rsid w:val="007546DD"/>
    <w:rsid w:val="00B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6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6A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38B5CF3DCD979C63302720843CDF735F0954ACB743BDBEFCADA1E593225841B9D8E1AC7C6BF911cDiBK" TargetMode="External"/><Relationship Id="rId13" Type="http://schemas.openxmlformats.org/officeDocument/2006/relationships/hyperlink" Target="consultantplus://offline/ref=CD38B5CF3DCD979C6330392D9250817C5B0308A5B545B4E9A6FEA7B2CC725E14F998E7F93F2FF715D2742F1Bc4i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38B5CF3DCD979C63302720843CDF735F0951A1B545BDBEFCADA1E593c2i2K" TargetMode="External"/><Relationship Id="rId12" Type="http://schemas.openxmlformats.org/officeDocument/2006/relationships/hyperlink" Target="consultantplus://offline/ref=CD38B5CF3DCD979C63302720843CDF735C0E52A1BC47BDBEFCADA1E593225841B9D8E1AC7C6BFA15cDi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38B5CF3DCD979C6330392D9250817C5B0308A5B545B4E9A6FEA7B2CC725E14F998E7F93F2FF715D2742F1Ac4iAK" TargetMode="External"/><Relationship Id="rId11" Type="http://schemas.openxmlformats.org/officeDocument/2006/relationships/hyperlink" Target="consultantplus://offline/ref=CD38B5CF3DCD979C6330392D9250817C5B0308A5B545B4E9A6FEA7B2CC725E14F998E7F93F2FF715D2742F1Ac4i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38B5CF3DCD979C6330392D9250817C5B0308A5B544B2ECA9FBA7B2CC725E14F998E7F93F2FF715D2752C1Ec4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38B5CF3DCD979C63302720843CDF735C0E52A1BC47BDBEFCADA1E593225841B9D8E1AC7C6BFA15cDi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Кадыров Сергей Владимирович</dc:creator>
  <cp:lastModifiedBy>Кадыров Сергей Владимирович</cp:lastModifiedBy>
  <cp:revision>1</cp:revision>
  <dcterms:created xsi:type="dcterms:W3CDTF">2017-06-29T10:34:00Z</dcterms:created>
  <dcterms:modified xsi:type="dcterms:W3CDTF">2017-06-29T10:34:00Z</dcterms:modified>
</cp:coreProperties>
</file>